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C8678" w14:textId="77777777" w:rsidR="004C06B1" w:rsidRPr="00934AED" w:rsidRDefault="00934AED" w:rsidP="00934AED">
      <w:pPr>
        <w:tabs>
          <w:tab w:val="num" w:pos="720"/>
        </w:tabs>
        <w:spacing w:after="120"/>
        <w:rPr>
          <w:rFonts w:asciiTheme="minorHAnsi" w:hAnsiTheme="minorHAnsi"/>
          <w:sz w:val="22"/>
        </w:rPr>
      </w:pPr>
      <w:r w:rsidRPr="00934AED">
        <w:rPr>
          <w:rFonts w:asciiTheme="minorHAnsi" w:hAnsiTheme="minorHAnsi"/>
          <w:sz w:val="22"/>
        </w:rPr>
        <w:t xml:space="preserve">Key objectives for the agencies and staff and the mandate they require to enable policy. </w:t>
      </w:r>
    </w:p>
    <w:p w14:paraId="0B9F6E88" w14:textId="77777777" w:rsidR="00000000" w:rsidRPr="004C06B1" w:rsidRDefault="00934AED" w:rsidP="004C06B1">
      <w:pPr>
        <w:numPr>
          <w:ilvl w:val="0"/>
          <w:numId w:val="11"/>
        </w:numPr>
        <w:spacing w:after="120"/>
        <w:rPr>
          <w:rFonts w:ascii="Calibri" w:hAnsi="Calibri"/>
          <w:sz w:val="22"/>
          <w:szCs w:val="22"/>
          <w:lang w:val="en-AU"/>
        </w:rPr>
      </w:pPr>
      <w:r w:rsidRPr="004C06B1">
        <w:rPr>
          <w:rFonts w:ascii="Calibri" w:hAnsi="Calibri"/>
          <w:sz w:val="22"/>
          <w:szCs w:val="22"/>
          <w:lang w:val="en-AU"/>
        </w:rPr>
        <w:t xml:space="preserve">determine whether and where there is an </w:t>
      </w:r>
      <w:r w:rsidRPr="004C06B1">
        <w:rPr>
          <w:rFonts w:ascii="Calibri" w:hAnsi="Calibri"/>
          <w:b/>
          <w:bCs/>
          <w:sz w:val="22"/>
          <w:szCs w:val="22"/>
          <w:lang w:val="en-AU"/>
        </w:rPr>
        <w:t>opportunity to better collaborate cross agency</w:t>
      </w:r>
      <w:r w:rsidRPr="004C06B1">
        <w:rPr>
          <w:rFonts w:ascii="Calibri" w:hAnsi="Calibri"/>
          <w:sz w:val="22"/>
          <w:szCs w:val="22"/>
          <w:lang w:val="en-AU"/>
        </w:rPr>
        <w:t xml:space="preserve"> in getting policy into practice</w:t>
      </w:r>
    </w:p>
    <w:p w14:paraId="7E600F13" w14:textId="77777777" w:rsidR="00000000" w:rsidRPr="004C06B1" w:rsidRDefault="00934AED" w:rsidP="004C06B1">
      <w:pPr>
        <w:numPr>
          <w:ilvl w:val="0"/>
          <w:numId w:val="11"/>
        </w:numPr>
        <w:spacing w:after="120"/>
        <w:rPr>
          <w:rFonts w:ascii="Calibri" w:hAnsi="Calibri"/>
          <w:sz w:val="22"/>
          <w:szCs w:val="22"/>
          <w:lang w:val="en-AU"/>
        </w:rPr>
      </w:pPr>
      <w:r w:rsidRPr="004C06B1">
        <w:rPr>
          <w:rFonts w:ascii="Calibri" w:hAnsi="Calibri"/>
          <w:b/>
          <w:bCs/>
          <w:sz w:val="22"/>
          <w:szCs w:val="22"/>
          <w:lang w:val="en-AU"/>
        </w:rPr>
        <w:t>understand what each agency needs</w:t>
      </w:r>
      <w:r w:rsidRPr="004C06B1">
        <w:rPr>
          <w:rFonts w:ascii="Calibri" w:hAnsi="Calibri"/>
          <w:sz w:val="22"/>
          <w:szCs w:val="22"/>
          <w:lang w:val="en-AU"/>
        </w:rPr>
        <w:t xml:space="preserve">, </w:t>
      </w:r>
      <w:proofErr w:type="gramStart"/>
      <w:r w:rsidRPr="004C06B1">
        <w:rPr>
          <w:rFonts w:ascii="Calibri" w:hAnsi="Calibri"/>
          <w:sz w:val="22"/>
          <w:szCs w:val="22"/>
          <w:lang w:val="en-AU"/>
        </w:rPr>
        <w:t>in order to</w:t>
      </w:r>
      <w:proofErr w:type="gramEnd"/>
      <w:r w:rsidRPr="004C06B1">
        <w:rPr>
          <w:rFonts w:ascii="Calibri" w:hAnsi="Calibri"/>
          <w:sz w:val="22"/>
          <w:szCs w:val="22"/>
          <w:lang w:val="en-AU"/>
        </w:rPr>
        <w:t xml:space="preserve"> fulfil their function more effectively</w:t>
      </w:r>
    </w:p>
    <w:p w14:paraId="462F4A88" w14:textId="77777777" w:rsidR="00000000" w:rsidRPr="004C06B1" w:rsidRDefault="00934AED" w:rsidP="004C06B1">
      <w:pPr>
        <w:numPr>
          <w:ilvl w:val="0"/>
          <w:numId w:val="11"/>
        </w:numPr>
        <w:spacing w:after="120"/>
        <w:rPr>
          <w:rFonts w:ascii="Calibri" w:hAnsi="Calibri"/>
          <w:sz w:val="22"/>
          <w:szCs w:val="22"/>
          <w:lang w:val="en-AU"/>
        </w:rPr>
      </w:pPr>
      <w:r w:rsidRPr="004C06B1">
        <w:rPr>
          <w:rFonts w:ascii="Calibri" w:hAnsi="Calibri"/>
          <w:b/>
          <w:bCs/>
          <w:sz w:val="22"/>
          <w:szCs w:val="22"/>
          <w:lang w:val="en-AU"/>
        </w:rPr>
        <w:t>improve the overall relationship</w:t>
      </w:r>
      <w:r w:rsidRPr="004C06B1">
        <w:rPr>
          <w:rFonts w:ascii="Calibri" w:hAnsi="Calibri"/>
          <w:sz w:val="22"/>
          <w:szCs w:val="22"/>
          <w:lang w:val="en-AU"/>
        </w:rPr>
        <w:t xml:space="preserve"> across agencies</w:t>
      </w:r>
    </w:p>
    <w:p w14:paraId="1F4B1C59" w14:textId="77777777" w:rsidR="004C06B1" w:rsidRDefault="004C06B1" w:rsidP="004C06B1">
      <w:pPr>
        <w:spacing w:after="120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</w:rPr>
        <w:t xml:space="preserve">Policy implementation experience </w:t>
      </w:r>
      <w:r>
        <w:rPr>
          <w:rFonts w:ascii="Calibri" w:hAnsi="Calibri"/>
          <w:sz w:val="22"/>
          <w:szCs w:val="22"/>
        </w:rPr>
        <w:t>in agencies</w:t>
      </w:r>
      <w:r>
        <w:rPr>
          <w:rFonts w:ascii="Calibri" w:hAnsi="Calibri"/>
          <w:sz w:val="22"/>
          <w:szCs w:val="22"/>
        </w:rPr>
        <w:t xml:space="preserve"> is highly variable with areas relaying positive outcomes enabled by good working relationships. </w:t>
      </w:r>
      <w:r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he following problem statements define to focus on how to move the effectiveness of policy delivery forward.</w:t>
      </w:r>
    </w:p>
    <w:p w14:paraId="1F8B4D1D" w14:textId="77777777" w:rsidR="004C06B1" w:rsidRDefault="004C06B1" w:rsidP="004C06B1">
      <w:pPr>
        <w:pStyle w:val="ListParagraph"/>
        <w:numPr>
          <w:ilvl w:val="0"/>
          <w:numId w:val="1"/>
        </w:numPr>
        <w:spacing w:before="60"/>
        <w:ind w:left="357"/>
        <w:rPr>
          <w:rFonts w:asciiTheme="minorHAnsi" w:hAnsiTheme="minorHAnsi"/>
          <w:b/>
          <w:sz w:val="22"/>
          <w:lang w:val="en-AU"/>
        </w:rPr>
      </w:pPr>
      <w:r>
        <w:rPr>
          <w:rFonts w:asciiTheme="minorHAnsi" w:hAnsiTheme="minorHAnsi"/>
          <w:b/>
          <w:bCs/>
          <w:sz w:val="22"/>
          <w:lang w:val="en-AU"/>
        </w:rPr>
        <w:t xml:space="preserve">Strategic </w:t>
      </w:r>
      <w:proofErr w:type="gramStart"/>
      <w:r>
        <w:rPr>
          <w:rFonts w:asciiTheme="minorHAnsi" w:hAnsiTheme="minorHAnsi"/>
          <w:b/>
          <w:bCs/>
          <w:sz w:val="22"/>
          <w:lang w:val="en-AU"/>
        </w:rPr>
        <w:t>Planning  &amp;</w:t>
      </w:r>
      <w:proofErr w:type="gramEnd"/>
      <w:r>
        <w:rPr>
          <w:rFonts w:asciiTheme="minorHAnsi" w:hAnsiTheme="minorHAnsi"/>
          <w:b/>
          <w:bCs/>
          <w:sz w:val="22"/>
          <w:lang w:val="en-AU"/>
        </w:rPr>
        <w:t xml:space="preserve"> Portfolio Management</w:t>
      </w:r>
    </w:p>
    <w:p w14:paraId="3E1A0FA7" w14:textId="77777777" w:rsidR="004C06B1" w:rsidRPr="004C06B1" w:rsidRDefault="004C06B1" w:rsidP="004C06B1">
      <w:pPr>
        <w:pStyle w:val="ListParagraph"/>
        <w:ind w:left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Engagement to coordinate planning between departments of common interests and impact appear to be undertaken independently.</w:t>
      </w:r>
      <w:r>
        <w:rPr>
          <w:rFonts w:asciiTheme="minorHAnsi" w:hAnsiTheme="minorHAnsi"/>
          <w:sz w:val="22"/>
        </w:rPr>
        <w:t xml:space="preserve"> </w:t>
      </w:r>
      <w:r w:rsidRPr="004C06B1">
        <w:rPr>
          <w:rFonts w:asciiTheme="minorHAnsi" w:hAnsiTheme="minorHAnsi"/>
          <w:sz w:val="22"/>
          <w:lang w:val="en-AU"/>
        </w:rPr>
        <w:t xml:space="preserve">This appears to be impeding the </w:t>
      </w:r>
      <w:proofErr w:type="gramStart"/>
      <w:r w:rsidRPr="004C06B1">
        <w:rPr>
          <w:rFonts w:asciiTheme="minorHAnsi" w:hAnsiTheme="minorHAnsi"/>
          <w:sz w:val="22"/>
          <w:lang w:val="en-AU"/>
        </w:rPr>
        <w:t>cross department</w:t>
      </w:r>
      <w:proofErr w:type="gramEnd"/>
      <w:r w:rsidRPr="004C06B1">
        <w:rPr>
          <w:rFonts w:asciiTheme="minorHAnsi" w:hAnsiTheme="minorHAnsi"/>
          <w:sz w:val="22"/>
          <w:lang w:val="en-AU"/>
        </w:rPr>
        <w:t xml:space="preserve"> prioritisation of policy delivery, resource planning and ‘what if’ feasibility analysis of emergent or innovative policy thinking.</w:t>
      </w:r>
    </w:p>
    <w:p w14:paraId="08D74367" w14:textId="77777777" w:rsidR="004C06B1" w:rsidRPr="004C06B1" w:rsidRDefault="004C06B1" w:rsidP="004C06B1">
      <w:pPr>
        <w:ind w:firstLine="357"/>
        <w:rPr>
          <w:rFonts w:asciiTheme="minorHAnsi" w:hAnsiTheme="minorHAnsi"/>
          <w:sz w:val="22"/>
          <w:lang w:val="en-AU"/>
        </w:rPr>
      </w:pPr>
      <w:r w:rsidRPr="004C06B1">
        <w:rPr>
          <w:rFonts w:asciiTheme="minorHAnsi" w:hAnsiTheme="minorHAnsi"/>
          <w:sz w:val="22"/>
        </w:rPr>
        <w:t xml:space="preserve">Proposed areas of focus: </w:t>
      </w:r>
    </w:p>
    <w:p w14:paraId="45416FB4" w14:textId="77777777" w:rsidR="00000000" w:rsidRPr="004C06B1" w:rsidRDefault="00934AED" w:rsidP="004C06B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lang w:val="en-AU"/>
        </w:rPr>
      </w:pPr>
      <w:r w:rsidRPr="004C06B1">
        <w:rPr>
          <w:rFonts w:asciiTheme="minorHAnsi" w:hAnsiTheme="minorHAnsi"/>
          <w:sz w:val="22"/>
          <w:lang w:val="en-AU"/>
        </w:rPr>
        <w:t>Review medium to long term policy planning</w:t>
      </w:r>
    </w:p>
    <w:p w14:paraId="7A672973" w14:textId="77777777" w:rsidR="00000000" w:rsidRPr="004C06B1" w:rsidRDefault="00934AED" w:rsidP="004C06B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lang w:val="en-AU"/>
        </w:rPr>
      </w:pPr>
      <w:r w:rsidRPr="004C06B1">
        <w:rPr>
          <w:rFonts w:asciiTheme="minorHAnsi" w:hAnsiTheme="minorHAnsi"/>
          <w:sz w:val="22"/>
          <w:lang w:val="en-AU"/>
        </w:rPr>
        <w:t>Develop policy delivery portfolio management</w:t>
      </w:r>
    </w:p>
    <w:p w14:paraId="62AE118B" w14:textId="77777777" w:rsidR="004C06B1" w:rsidRDefault="004C06B1" w:rsidP="004C06B1">
      <w:pPr>
        <w:pStyle w:val="ListParagraph"/>
        <w:ind w:left="357"/>
        <w:rPr>
          <w:rFonts w:asciiTheme="minorHAnsi" w:hAnsiTheme="minorHAnsi"/>
          <w:sz w:val="22"/>
        </w:rPr>
      </w:pPr>
    </w:p>
    <w:p w14:paraId="4AE3E992" w14:textId="77777777" w:rsidR="004C06B1" w:rsidRDefault="004C06B1" w:rsidP="004C06B1">
      <w:pPr>
        <w:pStyle w:val="ListParagraph"/>
        <w:numPr>
          <w:ilvl w:val="0"/>
          <w:numId w:val="1"/>
        </w:numPr>
        <w:spacing w:before="60"/>
        <w:ind w:left="357"/>
        <w:rPr>
          <w:rFonts w:asciiTheme="minorHAnsi" w:hAnsiTheme="minorHAnsi"/>
          <w:b/>
          <w:sz w:val="22"/>
          <w:lang w:val="en-AU"/>
        </w:rPr>
      </w:pPr>
      <w:r>
        <w:rPr>
          <w:rFonts w:asciiTheme="minorHAnsi" w:hAnsiTheme="minorHAnsi"/>
          <w:b/>
          <w:bCs/>
          <w:sz w:val="22"/>
          <w:lang w:val="en-AU"/>
        </w:rPr>
        <w:t>Policy Design &amp; Delivery</w:t>
      </w:r>
    </w:p>
    <w:p w14:paraId="24846B58" w14:textId="77777777" w:rsidR="004C06B1" w:rsidRDefault="004C06B1" w:rsidP="004C06B1">
      <w:pPr>
        <w:pStyle w:val="ListParagraph"/>
        <w:ind w:left="357"/>
        <w:rPr>
          <w:rFonts w:asciiTheme="minorHAnsi" w:hAnsiTheme="minorHAnsi"/>
          <w:sz w:val="22"/>
          <w:lang w:val="en-AU"/>
        </w:rPr>
      </w:pPr>
      <w:r>
        <w:rPr>
          <w:rFonts w:asciiTheme="minorHAnsi" w:hAnsiTheme="minorHAnsi"/>
          <w:sz w:val="22"/>
        </w:rPr>
        <w:t xml:space="preserve">Policy implementation is performing with mixed success. Challenges are being encountered in both small and </w:t>
      </w:r>
      <w:proofErr w:type="gramStart"/>
      <w:r>
        <w:rPr>
          <w:rFonts w:asciiTheme="minorHAnsi" w:hAnsiTheme="minorHAnsi"/>
          <w:sz w:val="22"/>
        </w:rPr>
        <w:t>large scale</w:t>
      </w:r>
      <w:proofErr w:type="gramEnd"/>
      <w:r>
        <w:rPr>
          <w:rFonts w:asciiTheme="minorHAnsi" w:hAnsiTheme="minorHAnsi"/>
          <w:sz w:val="22"/>
        </w:rPr>
        <w:t xml:space="preserve"> change.</w:t>
      </w:r>
      <w:r w:rsidRPr="004C06B1">
        <w:rPr>
          <w:rFonts w:asciiTheme="minorHAnsi" w:eastAsiaTheme="minorEastAsia" w:hAnsi="Arial" w:cstheme="minorBidi"/>
          <w:color w:val="222A35" w:themeColor="text2" w:themeShade="80"/>
          <w:kern w:val="24"/>
          <w:sz w:val="21"/>
          <w:szCs w:val="21"/>
          <w:lang w:val="en-AU" w:eastAsia="en-AU"/>
        </w:rPr>
        <w:t xml:space="preserve"> </w:t>
      </w:r>
      <w:r w:rsidRPr="004C06B1">
        <w:rPr>
          <w:rFonts w:asciiTheme="minorHAnsi" w:hAnsiTheme="minorHAnsi"/>
          <w:sz w:val="22"/>
          <w:lang w:val="en-AU"/>
        </w:rPr>
        <w:t>These challenges appear to be impeding the time, cost and quality of policy formulation and service delivery.</w:t>
      </w:r>
    </w:p>
    <w:p w14:paraId="0716D8A1" w14:textId="77777777" w:rsidR="004C06B1" w:rsidRPr="004C06B1" w:rsidRDefault="004C06B1" w:rsidP="004C06B1">
      <w:pPr>
        <w:ind w:firstLine="357"/>
        <w:rPr>
          <w:rFonts w:asciiTheme="minorHAnsi" w:hAnsiTheme="minorHAnsi"/>
          <w:sz w:val="22"/>
          <w:lang w:val="en-AU"/>
        </w:rPr>
      </w:pPr>
      <w:r w:rsidRPr="004C06B1">
        <w:rPr>
          <w:rFonts w:asciiTheme="minorHAnsi" w:hAnsiTheme="minorHAnsi"/>
          <w:sz w:val="22"/>
        </w:rPr>
        <w:t xml:space="preserve">Proposed areas of focus: </w:t>
      </w:r>
    </w:p>
    <w:p w14:paraId="12813ACF" w14:textId="77777777" w:rsidR="00000000" w:rsidRPr="004C06B1" w:rsidRDefault="00934AED" w:rsidP="004C06B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lang w:val="en-AU"/>
        </w:rPr>
      </w:pPr>
      <w:r w:rsidRPr="004C06B1">
        <w:rPr>
          <w:rFonts w:asciiTheme="minorHAnsi" w:hAnsiTheme="minorHAnsi"/>
          <w:sz w:val="22"/>
          <w:lang w:val="en-AU"/>
        </w:rPr>
        <w:t>Develop Policy co-design delivery model</w:t>
      </w:r>
    </w:p>
    <w:p w14:paraId="02B9D206" w14:textId="77777777" w:rsidR="00000000" w:rsidRPr="004C06B1" w:rsidRDefault="00934AED" w:rsidP="004C06B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lang w:val="en-AU"/>
        </w:rPr>
      </w:pPr>
      <w:r w:rsidRPr="004C06B1">
        <w:rPr>
          <w:rFonts w:asciiTheme="minorHAnsi" w:hAnsiTheme="minorHAnsi"/>
          <w:sz w:val="22"/>
          <w:lang w:val="en-AU"/>
        </w:rPr>
        <w:t>Refresh Policy</w:t>
      </w:r>
      <w:r w:rsidRPr="004C06B1">
        <w:rPr>
          <w:rFonts w:asciiTheme="minorHAnsi" w:hAnsiTheme="minorHAnsi"/>
          <w:sz w:val="22"/>
          <w:lang w:val="en-AU"/>
        </w:rPr>
        <w:t xml:space="preserve"> change governance</w:t>
      </w:r>
    </w:p>
    <w:p w14:paraId="2DBAD3D9" w14:textId="77777777" w:rsidR="004C06B1" w:rsidRPr="004C06B1" w:rsidRDefault="004C06B1" w:rsidP="004C06B1">
      <w:pPr>
        <w:pStyle w:val="ListParagraph"/>
        <w:ind w:left="357"/>
        <w:rPr>
          <w:rFonts w:asciiTheme="minorHAnsi" w:hAnsiTheme="minorHAnsi"/>
          <w:sz w:val="22"/>
          <w:lang w:val="en-AU"/>
        </w:rPr>
      </w:pPr>
    </w:p>
    <w:p w14:paraId="735DF0FE" w14:textId="77777777" w:rsidR="004C06B1" w:rsidRDefault="004C06B1" w:rsidP="004C06B1">
      <w:pPr>
        <w:pStyle w:val="ListParagraph"/>
        <w:numPr>
          <w:ilvl w:val="0"/>
          <w:numId w:val="5"/>
        </w:numPr>
        <w:spacing w:before="60"/>
        <w:ind w:left="357"/>
        <w:rPr>
          <w:rFonts w:asciiTheme="minorHAnsi" w:hAnsiTheme="minorHAnsi"/>
          <w:b/>
          <w:sz w:val="22"/>
          <w:lang w:val="en-AU"/>
        </w:rPr>
      </w:pPr>
      <w:r>
        <w:rPr>
          <w:rFonts w:asciiTheme="minorHAnsi" w:hAnsiTheme="minorHAnsi"/>
          <w:b/>
          <w:bCs/>
          <w:sz w:val="22"/>
          <w:lang w:val="en-AU"/>
        </w:rPr>
        <w:t>Financial Management &amp; Value Measurement</w:t>
      </w:r>
    </w:p>
    <w:p w14:paraId="75F323DA" w14:textId="77777777" w:rsidR="004C06B1" w:rsidRDefault="004C06B1" w:rsidP="004C06B1">
      <w:pPr>
        <w:pStyle w:val="ListParagraph"/>
        <w:ind w:left="357"/>
        <w:rPr>
          <w:rFonts w:asciiTheme="minorHAnsi" w:hAnsiTheme="minorHAnsi"/>
          <w:sz w:val="22"/>
          <w:lang w:val="en-AU"/>
        </w:rPr>
      </w:pPr>
      <w:r>
        <w:rPr>
          <w:rFonts w:asciiTheme="minorHAnsi" w:hAnsiTheme="minorHAnsi"/>
          <w:sz w:val="22"/>
        </w:rPr>
        <w:t>Policy investment funding and the measurement of policy delivery outcomes appear to be operating at various levels of maturity across policy areas.</w:t>
      </w:r>
      <w:r>
        <w:rPr>
          <w:rFonts w:asciiTheme="minorHAnsi" w:hAnsiTheme="minorHAnsi"/>
          <w:sz w:val="22"/>
        </w:rPr>
        <w:t xml:space="preserve"> </w:t>
      </w:r>
      <w:r w:rsidRPr="004C06B1">
        <w:rPr>
          <w:rFonts w:asciiTheme="minorHAnsi" w:hAnsiTheme="minorHAnsi"/>
          <w:sz w:val="22"/>
          <w:lang w:val="en-AU"/>
        </w:rPr>
        <w:t>This appears to be impairing the accountability and value tracking of policy investment spend.</w:t>
      </w:r>
    </w:p>
    <w:p w14:paraId="0BB34B79" w14:textId="77777777" w:rsidR="004C06B1" w:rsidRPr="004C06B1" w:rsidRDefault="004C06B1" w:rsidP="004C06B1">
      <w:pPr>
        <w:ind w:firstLine="357"/>
        <w:rPr>
          <w:rFonts w:asciiTheme="minorHAnsi" w:hAnsiTheme="minorHAnsi"/>
          <w:sz w:val="22"/>
          <w:lang w:val="en-AU"/>
        </w:rPr>
      </w:pPr>
      <w:r w:rsidRPr="004C06B1">
        <w:rPr>
          <w:rFonts w:asciiTheme="minorHAnsi" w:hAnsiTheme="minorHAnsi"/>
          <w:sz w:val="22"/>
        </w:rPr>
        <w:t xml:space="preserve">Proposed areas of focus: </w:t>
      </w:r>
    </w:p>
    <w:p w14:paraId="78631C5F" w14:textId="77777777" w:rsidR="00000000" w:rsidRPr="004C06B1" w:rsidRDefault="00934AED" w:rsidP="004C06B1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lang w:val="en-AU"/>
        </w:rPr>
      </w:pPr>
      <w:r w:rsidRPr="004C06B1">
        <w:rPr>
          <w:rFonts w:asciiTheme="minorHAnsi" w:hAnsiTheme="minorHAnsi"/>
          <w:sz w:val="22"/>
          <w:lang w:val="en-AU"/>
        </w:rPr>
        <w:t>Review funding models</w:t>
      </w:r>
    </w:p>
    <w:p w14:paraId="0D446A4A" w14:textId="77777777" w:rsidR="00000000" w:rsidRPr="004C06B1" w:rsidRDefault="00934AED" w:rsidP="004C06B1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lang w:val="en-AU"/>
        </w:rPr>
      </w:pPr>
      <w:r w:rsidRPr="004C06B1">
        <w:rPr>
          <w:rFonts w:asciiTheme="minorHAnsi" w:hAnsiTheme="minorHAnsi"/>
          <w:sz w:val="22"/>
          <w:lang w:val="en-AU"/>
        </w:rPr>
        <w:t>Refresh delivery outcome reporting</w:t>
      </w:r>
    </w:p>
    <w:p w14:paraId="14AE6370" w14:textId="77777777" w:rsidR="004C06B1" w:rsidRPr="004C06B1" w:rsidRDefault="004C06B1" w:rsidP="004C06B1">
      <w:pPr>
        <w:pStyle w:val="ListParagraph"/>
        <w:ind w:left="357"/>
        <w:rPr>
          <w:rFonts w:asciiTheme="minorHAnsi" w:hAnsiTheme="minorHAnsi"/>
          <w:sz w:val="22"/>
          <w:lang w:val="en-AU"/>
        </w:rPr>
      </w:pPr>
    </w:p>
    <w:p w14:paraId="01298F44" w14:textId="77777777" w:rsidR="004C06B1" w:rsidRDefault="004C06B1" w:rsidP="004C06B1">
      <w:pPr>
        <w:pStyle w:val="ListParagraph"/>
        <w:numPr>
          <w:ilvl w:val="0"/>
          <w:numId w:val="8"/>
        </w:numPr>
        <w:spacing w:before="60"/>
        <w:rPr>
          <w:rFonts w:asciiTheme="minorHAnsi" w:hAnsiTheme="minorHAnsi"/>
          <w:b/>
          <w:sz w:val="22"/>
          <w:lang w:val="en-AU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lang w:val="en-AU"/>
        </w:rPr>
        <w:t xml:space="preserve">Relationship Model </w:t>
      </w:r>
    </w:p>
    <w:p w14:paraId="3269D36F" w14:textId="77777777" w:rsidR="004C06B1" w:rsidRDefault="004C06B1" w:rsidP="004C06B1">
      <w:pPr>
        <w:pStyle w:val="ListParagraph"/>
        <w:ind w:left="357"/>
        <w:rPr>
          <w:rFonts w:asciiTheme="minorHAnsi" w:hAnsiTheme="minorHAnsi"/>
          <w:sz w:val="22"/>
          <w:lang w:val="en-AU"/>
        </w:rPr>
      </w:pPr>
      <w:r>
        <w:rPr>
          <w:rFonts w:asciiTheme="minorHAnsi" w:hAnsiTheme="minorHAnsi"/>
          <w:sz w:val="22"/>
        </w:rPr>
        <w:t>Lack of clarity and consistency in the roles and responsibilities between departments is impeding partnering effectiveness</w:t>
      </w:r>
      <w:r>
        <w:rPr>
          <w:rFonts w:asciiTheme="minorHAnsi" w:hAnsiTheme="minorHAnsi"/>
          <w:sz w:val="22"/>
        </w:rPr>
        <w:t xml:space="preserve">. </w:t>
      </w:r>
      <w:r w:rsidRPr="004C06B1">
        <w:rPr>
          <w:rFonts w:asciiTheme="minorHAnsi" w:hAnsiTheme="minorHAnsi"/>
          <w:sz w:val="22"/>
          <w:lang w:val="en-AU"/>
        </w:rPr>
        <w:t xml:space="preserve">This appears to complicate accountability, collaboration and </w:t>
      </w:r>
      <w:proofErr w:type="spellStart"/>
      <w:r w:rsidRPr="004C06B1">
        <w:rPr>
          <w:rFonts w:asciiTheme="minorHAnsi" w:hAnsiTheme="minorHAnsi"/>
          <w:sz w:val="22"/>
          <w:lang w:val="en-AU"/>
        </w:rPr>
        <w:t>and</w:t>
      </w:r>
      <w:proofErr w:type="spellEnd"/>
      <w:r w:rsidRPr="004C06B1">
        <w:rPr>
          <w:rFonts w:asciiTheme="minorHAnsi" w:hAnsiTheme="minorHAnsi"/>
          <w:sz w:val="22"/>
          <w:lang w:val="en-AU"/>
        </w:rPr>
        <w:t xml:space="preserve"> sensitivities surrounding information exchanged between departments.</w:t>
      </w:r>
    </w:p>
    <w:p w14:paraId="20E117DA" w14:textId="77777777" w:rsidR="004C06B1" w:rsidRPr="004C06B1" w:rsidRDefault="004C06B1" w:rsidP="004C06B1">
      <w:pPr>
        <w:ind w:firstLine="357"/>
        <w:rPr>
          <w:rFonts w:asciiTheme="minorHAnsi" w:hAnsiTheme="minorHAnsi"/>
          <w:sz w:val="22"/>
          <w:lang w:val="en-AU"/>
        </w:rPr>
      </w:pPr>
      <w:r w:rsidRPr="004C06B1">
        <w:rPr>
          <w:rFonts w:asciiTheme="minorHAnsi" w:hAnsiTheme="minorHAnsi"/>
          <w:sz w:val="22"/>
        </w:rPr>
        <w:t xml:space="preserve">Proposed areas of focus: </w:t>
      </w:r>
    </w:p>
    <w:p w14:paraId="765CD2F5" w14:textId="77777777" w:rsidR="00000000" w:rsidRPr="004C06B1" w:rsidRDefault="00934AED" w:rsidP="004C06B1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lang w:val="en-AU"/>
        </w:rPr>
      </w:pPr>
      <w:r w:rsidRPr="004C06B1">
        <w:rPr>
          <w:rFonts w:asciiTheme="minorHAnsi" w:hAnsiTheme="minorHAnsi"/>
          <w:sz w:val="22"/>
          <w:lang w:val="en-AU"/>
        </w:rPr>
        <w:t>Refresh terms of business (MOU)</w:t>
      </w:r>
    </w:p>
    <w:p w14:paraId="6215F182" w14:textId="77777777" w:rsidR="00000000" w:rsidRPr="004C06B1" w:rsidRDefault="00934AED" w:rsidP="004C06B1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lang w:val="en-AU"/>
        </w:rPr>
      </w:pPr>
      <w:r w:rsidRPr="004C06B1">
        <w:rPr>
          <w:rFonts w:asciiTheme="minorHAnsi" w:hAnsiTheme="minorHAnsi"/>
          <w:sz w:val="22"/>
          <w:lang w:val="en-AU"/>
        </w:rPr>
        <w:t>Refresh partner relationship model</w:t>
      </w:r>
    </w:p>
    <w:p w14:paraId="7EDEEB0E" w14:textId="77777777" w:rsidR="004C06B1" w:rsidRPr="004C06B1" w:rsidRDefault="004C06B1" w:rsidP="004C06B1">
      <w:pPr>
        <w:pStyle w:val="ListParagraph"/>
        <w:ind w:left="357"/>
        <w:rPr>
          <w:rFonts w:asciiTheme="minorHAnsi" w:hAnsiTheme="minorHAnsi"/>
          <w:sz w:val="22"/>
          <w:lang w:val="en-AU"/>
        </w:rPr>
      </w:pPr>
    </w:p>
    <w:p w14:paraId="48EC6854" w14:textId="77777777" w:rsidR="004C06B1" w:rsidRDefault="004C06B1" w:rsidP="004C06B1">
      <w:pPr>
        <w:pStyle w:val="ListParagraph"/>
        <w:ind w:left="357"/>
        <w:rPr>
          <w:rFonts w:asciiTheme="minorHAnsi" w:hAnsiTheme="minorHAnsi"/>
          <w:sz w:val="22"/>
        </w:rPr>
      </w:pPr>
    </w:p>
    <w:p w14:paraId="306B3C41" w14:textId="77777777" w:rsidR="00EB7E56" w:rsidRDefault="00EB7E56"/>
    <w:sectPr w:rsidR="00EB7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4656"/>
    <w:multiLevelType w:val="hybridMultilevel"/>
    <w:tmpl w:val="16088C42"/>
    <w:lvl w:ilvl="0" w:tplc="21F04D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144E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E656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D25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610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A9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186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E7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403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16BC2"/>
    <w:multiLevelType w:val="hybridMultilevel"/>
    <w:tmpl w:val="70AC0A16"/>
    <w:lvl w:ilvl="0" w:tplc="5B82DF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D857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5A55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2A6A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D274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909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E31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3E25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85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D66CF"/>
    <w:multiLevelType w:val="hybridMultilevel"/>
    <w:tmpl w:val="B810DD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406AD"/>
    <w:multiLevelType w:val="hybridMultilevel"/>
    <w:tmpl w:val="9BE2D91A"/>
    <w:lvl w:ilvl="0" w:tplc="6A18A7C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48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CF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24C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490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2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69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26C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0250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055D40"/>
    <w:multiLevelType w:val="hybridMultilevel"/>
    <w:tmpl w:val="A3F80B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13DE0"/>
    <w:multiLevelType w:val="hybridMultilevel"/>
    <w:tmpl w:val="D4A0AC2C"/>
    <w:lvl w:ilvl="0" w:tplc="21CCDC1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DA3C79"/>
    <w:multiLevelType w:val="hybridMultilevel"/>
    <w:tmpl w:val="A3F80B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47E9F"/>
    <w:multiLevelType w:val="hybridMultilevel"/>
    <w:tmpl w:val="BEEA935C"/>
    <w:lvl w:ilvl="0" w:tplc="CD76DC5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EEA4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CCC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565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632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1CA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724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CE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F430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5B5D94"/>
    <w:multiLevelType w:val="hybridMultilevel"/>
    <w:tmpl w:val="9300DCB4"/>
    <w:lvl w:ilvl="0" w:tplc="97AE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501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16B6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6AD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6C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E01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B69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C8A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E4B1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182338"/>
    <w:multiLevelType w:val="hybridMultilevel"/>
    <w:tmpl w:val="C802761E"/>
    <w:lvl w:ilvl="0" w:tplc="53EE243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B1"/>
    <w:rsid w:val="004C06B1"/>
    <w:rsid w:val="00934AED"/>
    <w:rsid w:val="00EB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98D7A"/>
  <w15:chartTrackingRefBased/>
  <w15:docId w15:val="{A12EA487-FA00-4E58-AB15-20E87527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6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06B1"/>
    <w:pPr>
      <w:spacing w:before="100" w:beforeAutospacing="1" w:after="100" w:afterAutospacing="1"/>
    </w:pPr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123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74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7869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231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65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814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366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0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112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22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030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41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ShareHubID xmlns="166541c0-0594-4e6a-9105-c24d4b6de6f7">DOC19-444729</ShareHubID>
    <TaxCatchAll xmlns="166541c0-0594-4e6a-9105-c24d4b6de6f7">
      <Value>57</Value>
    </TaxCatchAll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E39BFCB6-03C7-4981-B08B-96B5F7450619}"/>
</file>

<file path=customXml/itemProps2.xml><?xml version="1.0" encoding="utf-8"?>
<ds:datastoreItem xmlns:ds="http://schemas.openxmlformats.org/officeDocument/2006/customXml" ds:itemID="{A5C5A030-D42C-4330-9787-8579D3FA5EAC}"/>
</file>

<file path=customXml/itemProps3.xml><?xml version="1.0" encoding="utf-8"?>
<ds:datastoreItem xmlns:ds="http://schemas.openxmlformats.org/officeDocument/2006/customXml" ds:itemID="{F0DA4D09-4866-414C-9C30-8AE2DFADC1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1839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2018-07-31T11:57:00Z</dcterms:created>
  <dcterms:modified xsi:type="dcterms:W3CDTF">2018-07-31T12:13:00Z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RMSecurityLevel">
    <vt:lpwstr>57;#OFFICIAL|11463c70-78df-4e3b-b0ff-f66cd3cb26ec</vt:lpwstr>
  </property>
  <property fmtid="{D5CDD505-2E9C-101B-9397-08002B2CF9AE}" pid="3" name="ContentTypeId">
    <vt:lpwstr>0x0101002825A64A6E1845A99A9D8EE8A5686ECB009B58D7D72C3ED54C851955501673F8AC</vt:lpwstr>
  </property>
  <property fmtid="{D5CDD505-2E9C-101B-9397-08002B2CF9AE}" pid="4" name="ESearchTags">
    <vt:lpwstr/>
  </property>
  <property fmtid="{D5CDD505-2E9C-101B-9397-08002B2CF9AE}" pid="5" name="PMC.ESearch.TagGeneratedTime">
    <vt:lpwstr>2019-12-09T15:04:25</vt:lpwstr>
  </property>
  <property fmtid="{D5CDD505-2E9C-101B-9397-08002B2CF9AE}" pid="6" name="HPRMSecurityCaveat">
    <vt:lpwstr/>
  </property>
</Properties>
</file>