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DB" w:rsidRDefault="00D9337A" w:rsidP="00412CBA">
      <w:pPr>
        <w:spacing w:after="160" w:line="276" w:lineRule="auto"/>
        <w:rPr>
          <w:szCs w:val="22"/>
        </w:rPr>
      </w:pPr>
      <w:r>
        <w:rPr>
          <w:b/>
          <w:sz w:val="28"/>
          <w:szCs w:val="28"/>
        </w:rPr>
        <w:t>Response to the</w:t>
      </w:r>
      <w:r w:rsidR="00412CBA">
        <w:rPr>
          <w:b/>
          <w:sz w:val="28"/>
          <w:szCs w:val="28"/>
        </w:rPr>
        <w:t xml:space="preserve"> ‘Priorities for Change’ Interim Report</w:t>
      </w:r>
    </w:p>
    <w:p w:rsidR="00412CBA" w:rsidRDefault="00412CBA" w:rsidP="00412CBA">
      <w:pPr>
        <w:spacing w:after="160" w:line="276" w:lineRule="auto"/>
        <w:rPr>
          <w:szCs w:val="22"/>
        </w:rPr>
      </w:pPr>
    </w:p>
    <w:p w:rsidR="00412CBA" w:rsidRDefault="00412CBA" w:rsidP="001D66CF">
      <w:pPr>
        <w:spacing w:after="120" w:line="276" w:lineRule="auto"/>
        <w:rPr>
          <w:szCs w:val="22"/>
        </w:rPr>
      </w:pPr>
      <w:r>
        <w:rPr>
          <w:szCs w:val="22"/>
        </w:rPr>
        <w:t>Dear APS Review Panel,</w:t>
      </w:r>
    </w:p>
    <w:p w:rsidR="00412CBA" w:rsidRDefault="00412CBA" w:rsidP="001D66CF">
      <w:pPr>
        <w:spacing w:after="120" w:line="276" w:lineRule="auto"/>
        <w:rPr>
          <w:szCs w:val="22"/>
        </w:rPr>
      </w:pPr>
    </w:p>
    <w:p w:rsidR="00412CBA" w:rsidRDefault="00412CBA" w:rsidP="001D66CF">
      <w:pPr>
        <w:spacing w:after="120" w:line="276" w:lineRule="auto"/>
        <w:rPr>
          <w:szCs w:val="22"/>
        </w:rPr>
      </w:pPr>
      <w:r>
        <w:rPr>
          <w:szCs w:val="22"/>
        </w:rPr>
        <w:t>In my previous submission</w:t>
      </w:r>
      <w:r w:rsidR="00E27879">
        <w:rPr>
          <w:szCs w:val="22"/>
        </w:rPr>
        <w:t xml:space="preserve"> (see below at </w:t>
      </w:r>
      <w:r w:rsidR="00E27879">
        <w:rPr>
          <w:szCs w:val="22"/>
          <w:u w:val="single"/>
        </w:rPr>
        <w:t>Attachment A</w:t>
      </w:r>
      <w:r w:rsidR="00E27879">
        <w:rPr>
          <w:szCs w:val="22"/>
        </w:rPr>
        <w:t>)</w:t>
      </w:r>
      <w:r>
        <w:rPr>
          <w:szCs w:val="22"/>
        </w:rPr>
        <w:t xml:space="preserve">, I argued for the need for change proposals to be grounded in the day-to-day lived experience of APS and EL level staff. I therefore agreed with the statements by Chair David </w:t>
      </w:r>
      <w:proofErr w:type="spellStart"/>
      <w:r>
        <w:rPr>
          <w:szCs w:val="22"/>
        </w:rPr>
        <w:t>Thodey</w:t>
      </w:r>
      <w:proofErr w:type="spellEnd"/>
      <w:r>
        <w:rPr>
          <w:szCs w:val="22"/>
        </w:rPr>
        <w:t xml:space="preserve"> about the importance of making the case for change and focusing on implementation, especially as the ‘Priorities for Change’ report has understandably advocated similar policies as have most reviews since the Dawkins Era.</w:t>
      </w:r>
    </w:p>
    <w:p w:rsidR="00412CBA" w:rsidRDefault="00412CBA" w:rsidP="001D66CF">
      <w:pPr>
        <w:spacing w:after="120" w:line="276" w:lineRule="auto"/>
        <w:rPr>
          <w:szCs w:val="22"/>
        </w:rPr>
      </w:pPr>
      <w:r>
        <w:rPr>
          <w:szCs w:val="22"/>
        </w:rPr>
        <w:t>I am not persuaded the Priorities for Change report has adequately made the case for change, nor provided sufficient guidance on avenues for implementation.</w:t>
      </w:r>
    </w:p>
    <w:p w:rsidR="00412CBA" w:rsidRDefault="00412CBA" w:rsidP="001D66CF">
      <w:pPr>
        <w:spacing w:after="120" w:line="276" w:lineRule="auto"/>
        <w:rPr>
          <w:szCs w:val="22"/>
        </w:rPr>
      </w:pPr>
      <w:r>
        <w:rPr>
          <w:szCs w:val="22"/>
        </w:rPr>
        <w:t>A stronger articulation of the Review Panel’s theory of change would greatly assist the report in making its case. Currently, the report describes in general terms the kinds of changes it recommends, but does not provide a description of either how the Panel sees the current state of the APS, no</w:t>
      </w:r>
      <w:r w:rsidR="004B1717">
        <w:rPr>
          <w:szCs w:val="22"/>
        </w:rPr>
        <w:t>r</w:t>
      </w:r>
      <w:r>
        <w:rPr>
          <w:szCs w:val="22"/>
        </w:rPr>
        <w:t xml:space="preserve"> the Panel’s desired future state for the service. There are hints towards implied deficiencies (the call for greater digitisation of service delivery, for example), and some very broad-brush aspirations (e.g. to be a world class bureaucracy), but these are not link</w:t>
      </w:r>
      <w:r w:rsidR="003D3289">
        <w:rPr>
          <w:szCs w:val="22"/>
        </w:rPr>
        <w:t>ed</w:t>
      </w:r>
      <w:r>
        <w:rPr>
          <w:szCs w:val="22"/>
        </w:rPr>
        <w:t xml:space="preserve"> to specific actions that could be taken, frameworks that could be built, or even clear definitions of what phrases like ‘world class’ </w:t>
      </w:r>
      <w:r w:rsidR="00414AEA">
        <w:rPr>
          <w:szCs w:val="22"/>
        </w:rPr>
        <w:t>might</w:t>
      </w:r>
      <w:r>
        <w:rPr>
          <w:szCs w:val="22"/>
        </w:rPr>
        <w:t xml:space="preserve"> mean. It would therefore be difficult for an agency to know whether it was implementing the proposed reforms, and hard to justify those reforms in the face of likely staff scepticism.</w:t>
      </w:r>
      <w:r>
        <w:rPr>
          <w:rStyle w:val="FootnoteReference"/>
          <w:szCs w:val="22"/>
        </w:rPr>
        <w:footnoteReference w:id="1"/>
      </w:r>
    </w:p>
    <w:p w:rsidR="007F71AD" w:rsidRDefault="007571C1" w:rsidP="001D66CF">
      <w:pPr>
        <w:spacing w:after="120" w:line="276" w:lineRule="auto"/>
        <w:rPr>
          <w:szCs w:val="22"/>
        </w:rPr>
      </w:pPr>
      <w:r>
        <w:rPr>
          <w:szCs w:val="22"/>
        </w:rPr>
        <w:t xml:space="preserve">If the review started with a clear articulation of how it sees the current state of the service, and </w:t>
      </w:r>
      <w:r w:rsidR="00F57EA5">
        <w:rPr>
          <w:szCs w:val="22"/>
        </w:rPr>
        <w:t>continued</w:t>
      </w:r>
      <w:r>
        <w:rPr>
          <w:szCs w:val="22"/>
        </w:rPr>
        <w:t xml:space="preserve"> by outlining a well-defined, concrete end goal, it would be far easier to show that the proposed changes are necessary and desirable. It would also assist in guiding implementation, because the intervening steps would be clearer to see. As has been well-established,</w:t>
      </w:r>
      <w:r>
        <w:rPr>
          <w:rStyle w:val="FootnoteReference"/>
          <w:szCs w:val="22"/>
        </w:rPr>
        <w:footnoteReference w:id="2"/>
      </w:r>
      <w:r>
        <w:rPr>
          <w:szCs w:val="22"/>
        </w:rPr>
        <w:t xml:space="preserve"> thorough mapping of </w:t>
      </w:r>
      <w:r w:rsidR="005E3FEB">
        <w:rPr>
          <w:szCs w:val="22"/>
        </w:rPr>
        <w:t xml:space="preserve">all </w:t>
      </w:r>
      <w:r>
        <w:rPr>
          <w:szCs w:val="22"/>
        </w:rPr>
        <w:t>necessary steps is vital for the successful implementation of any complex program, espec</w:t>
      </w:r>
      <w:r w:rsidR="0053080F">
        <w:rPr>
          <w:szCs w:val="22"/>
        </w:rPr>
        <w:t>ially when that program</w:t>
      </w:r>
      <w:r>
        <w:rPr>
          <w:szCs w:val="22"/>
        </w:rPr>
        <w:t xml:space="preserve"> involves cultural change. A clear theory of change would also be consistent with the review’s own recommendations about the importance of building evaluation into programs from the start: change cannot be evaluated if its </w:t>
      </w:r>
      <w:r w:rsidR="00B16CDD">
        <w:rPr>
          <w:szCs w:val="22"/>
        </w:rPr>
        <w:t xml:space="preserve">components </w:t>
      </w:r>
      <w:r>
        <w:rPr>
          <w:szCs w:val="22"/>
        </w:rPr>
        <w:t>and assumptions are not clear.</w:t>
      </w:r>
      <w:r>
        <w:rPr>
          <w:rStyle w:val="FootnoteReference"/>
          <w:szCs w:val="22"/>
        </w:rPr>
        <w:footnoteReference w:id="3"/>
      </w:r>
    </w:p>
    <w:p w:rsidR="007571C1" w:rsidRDefault="007571C1" w:rsidP="001D66CF">
      <w:pPr>
        <w:spacing w:after="120" w:line="276" w:lineRule="auto"/>
        <w:rPr>
          <w:szCs w:val="22"/>
        </w:rPr>
      </w:pPr>
      <w:r>
        <w:rPr>
          <w:szCs w:val="22"/>
        </w:rPr>
        <w:t xml:space="preserve">Clear articulation of the need and goals for change is particularly important given the agreement of Chair David </w:t>
      </w:r>
      <w:proofErr w:type="spellStart"/>
      <w:r>
        <w:rPr>
          <w:szCs w:val="22"/>
        </w:rPr>
        <w:t>Thodey</w:t>
      </w:r>
      <w:proofErr w:type="spellEnd"/>
      <w:r>
        <w:rPr>
          <w:szCs w:val="22"/>
        </w:rPr>
        <w:t xml:space="preserve"> with Secretary Heather Smith PSM that there is not currently a ‘burning platform’ to address.</w:t>
      </w:r>
      <w:r>
        <w:rPr>
          <w:rStyle w:val="FootnoteReference"/>
          <w:szCs w:val="22"/>
        </w:rPr>
        <w:footnoteReference w:id="4"/>
      </w:r>
      <w:r w:rsidR="007F71AD">
        <w:rPr>
          <w:szCs w:val="22"/>
        </w:rPr>
        <w:t xml:space="preserve"> The review is not in a position to assume that the staff being asked to change will consent or comply unless the justification is irrefutable.</w:t>
      </w:r>
    </w:p>
    <w:p w:rsidR="007571C1" w:rsidRDefault="00A15BF2" w:rsidP="001D66CF">
      <w:pPr>
        <w:spacing w:after="120" w:line="276" w:lineRule="auto"/>
        <w:rPr>
          <w:szCs w:val="22"/>
        </w:rPr>
      </w:pPr>
      <w:r>
        <w:rPr>
          <w:szCs w:val="22"/>
        </w:rPr>
        <w:lastRenderedPageBreak/>
        <w:t xml:space="preserve">The value of detailed theories of change is not a new concept. What is less often discussed, but in my view is critical to the success of any final recommendations from the Panel, is that the review give a more thorough consideration to how its proposals will affect front-line staff, and whether front-line staff may need additional supports quite separate from those needed by other areas or levels of the APS. Currently, the review appears to be focusing primarily on the upper echelons of the APS. The role of the APSC and the Secretary’s Board are discussed, as are talent-management approaches for SES and identified future SES. These are sound and reasonable suggestions, but they are not sufficient. It is trivial to note that capacity (and thus capacity-building needs) are not limited to the executive, but the consequences of that statement are </w:t>
      </w:r>
      <w:r w:rsidR="00C477C3">
        <w:rPr>
          <w:szCs w:val="22"/>
        </w:rPr>
        <w:t>far</w:t>
      </w:r>
      <w:r>
        <w:rPr>
          <w:szCs w:val="22"/>
        </w:rPr>
        <w:t xml:space="preserve"> less so. It impl</w:t>
      </w:r>
      <w:r w:rsidR="00C477C3">
        <w:rPr>
          <w:szCs w:val="22"/>
        </w:rPr>
        <w:t>ies</w:t>
      </w:r>
      <w:r>
        <w:rPr>
          <w:szCs w:val="22"/>
        </w:rPr>
        <w:t xml:space="preserve"> that the future quality and performance of the APS as a whole is likely to depend far more on the quality, morale, and empowerment of APS-level staff than of any other tier – they draft and execute the policies, and there are more of them.</w:t>
      </w:r>
    </w:p>
    <w:p w:rsidR="00A15BF2" w:rsidRDefault="00A15BF2" w:rsidP="001D66CF">
      <w:pPr>
        <w:spacing w:after="120" w:line="276" w:lineRule="auto"/>
        <w:rPr>
          <w:szCs w:val="22"/>
        </w:rPr>
      </w:pPr>
      <w:r>
        <w:rPr>
          <w:szCs w:val="22"/>
        </w:rPr>
        <w:t xml:space="preserve">Capacity-building is one example; others could be provided. </w:t>
      </w:r>
      <w:r w:rsidR="00C477C3">
        <w:rPr>
          <w:szCs w:val="22"/>
        </w:rPr>
        <w:t>M</w:t>
      </w:r>
      <w:r>
        <w:rPr>
          <w:szCs w:val="22"/>
        </w:rPr>
        <w:t>ore important is the flow-on effect of not grounding the proposed changes in the experiences and daily work of APS-level staff. As noted in my previous submission, the APS Review is fundamentally calling for cultural change, and that depends as much on the bottom as the top. The literature on cultural change is very clear: change needs the timely, willing consent of not merely a majority but an overwhelming majority of participants.</w:t>
      </w:r>
      <w:r>
        <w:rPr>
          <w:rStyle w:val="FootnoteReference"/>
          <w:szCs w:val="22"/>
        </w:rPr>
        <w:footnoteReference w:id="5"/>
      </w:r>
      <w:r w:rsidR="00BD5055">
        <w:rPr>
          <w:szCs w:val="22"/>
        </w:rPr>
        <w:t xml:space="preserve"> That consent can be acquired in various ways (thus the literature on different leadership styles, the value – or occasionally impediment – of a ‘champion’, etc.),</w:t>
      </w:r>
      <w:r w:rsidR="00BD5055">
        <w:rPr>
          <w:rStyle w:val="FootnoteReference"/>
          <w:szCs w:val="22"/>
        </w:rPr>
        <w:footnoteReference w:id="6"/>
      </w:r>
      <w:r w:rsidR="00BD5055">
        <w:rPr>
          <w:szCs w:val="22"/>
        </w:rPr>
        <w:t xml:space="preserve"> but where the change is not clearly justified in language and terms that are relevant to the staff being asked to change,</w:t>
      </w:r>
      <w:r w:rsidR="00BD5055">
        <w:rPr>
          <w:rStyle w:val="FootnoteReference"/>
          <w:szCs w:val="22"/>
        </w:rPr>
        <w:footnoteReference w:id="7"/>
      </w:r>
      <w:r w:rsidR="00BD5055">
        <w:rPr>
          <w:szCs w:val="22"/>
        </w:rPr>
        <w:t xml:space="preserve"> those staff are highly likely to resist on principle, especially if they have been rendered cynical and jaded by past reforms that failed to deliver the benefits promised. Whether it is “many things must be done, but nothing must be done for the first time”</w:t>
      </w:r>
      <w:r w:rsidR="00716CF3">
        <w:rPr>
          <w:rStyle w:val="FootnoteReference"/>
          <w:szCs w:val="22"/>
        </w:rPr>
        <w:footnoteReference w:id="8"/>
      </w:r>
      <w:r w:rsidR="00BD5055">
        <w:rPr>
          <w:szCs w:val="22"/>
        </w:rPr>
        <w:t xml:space="preserve"> or “progress for progress’ sake must be avoided”,</w:t>
      </w:r>
      <w:r w:rsidR="00716CF3">
        <w:rPr>
          <w:rStyle w:val="FootnoteReference"/>
          <w:szCs w:val="22"/>
        </w:rPr>
        <w:footnoteReference w:id="9"/>
      </w:r>
      <w:r w:rsidR="00BD5055">
        <w:rPr>
          <w:szCs w:val="22"/>
        </w:rPr>
        <w:t xml:space="preserve"> public servants are not known for eager, unhesitating leaps to adopt the new and different. In that, they are much like everyone else.</w:t>
      </w:r>
    </w:p>
    <w:p w:rsidR="004A4734" w:rsidRDefault="004A4734" w:rsidP="001D66CF">
      <w:pPr>
        <w:spacing w:after="120" w:line="276" w:lineRule="auto"/>
        <w:rPr>
          <w:szCs w:val="22"/>
        </w:rPr>
      </w:pPr>
      <w:r>
        <w:rPr>
          <w:szCs w:val="22"/>
        </w:rPr>
        <w:t>The need to write a ground</w:t>
      </w:r>
      <w:r w:rsidR="00557FB5">
        <w:rPr>
          <w:szCs w:val="22"/>
        </w:rPr>
        <w:t>ed</w:t>
      </w:r>
      <w:r>
        <w:rPr>
          <w:szCs w:val="22"/>
        </w:rPr>
        <w:t xml:space="preserve"> report (rather than a high-level vision) that connects with APS-level staff’s experience of their work is particularly important in light of the concerns raised in so many submissions to the review that the public services has lost effectiveness and become politicised.</w:t>
      </w:r>
      <w:r>
        <w:rPr>
          <w:rStyle w:val="FootnoteReference"/>
          <w:szCs w:val="22"/>
        </w:rPr>
        <w:footnoteReference w:id="10"/>
      </w:r>
      <w:r w:rsidR="00C5443B">
        <w:rPr>
          <w:szCs w:val="22"/>
        </w:rPr>
        <w:t xml:space="preserve"> The burden and the stress of those things fall heaviest on frontline staff. They are the ones forced to see daily the harm that is wrought by failed policies, and who bear the emotional load of dealing with people, businesses, and groups frustrated and angry with the systems that ought to be helping but have instead become effectively punitive, both by design and by poor design.</w:t>
      </w:r>
      <w:r w:rsidR="00C5443B">
        <w:rPr>
          <w:rStyle w:val="FootnoteReference"/>
          <w:szCs w:val="22"/>
        </w:rPr>
        <w:footnoteReference w:id="11"/>
      </w:r>
      <w:r w:rsidR="008177B0">
        <w:rPr>
          <w:szCs w:val="22"/>
        </w:rPr>
        <w:t xml:space="preserve"> In such an environment, it is not surprising that ‘burn out’ and ‘change fatigue’ have become such common topics of discussion. Unless the review engages with the issues that staff see impacting their daily work, it is highly unlikely the recommendations will penetrate very far into the heart of the APS.</w:t>
      </w:r>
    </w:p>
    <w:p w:rsidR="008177B0" w:rsidRDefault="008177B0" w:rsidP="001D66CF">
      <w:pPr>
        <w:spacing w:after="120" w:line="276" w:lineRule="auto"/>
        <w:rPr>
          <w:szCs w:val="22"/>
        </w:rPr>
      </w:pPr>
      <w:r>
        <w:rPr>
          <w:szCs w:val="22"/>
        </w:rPr>
        <w:t xml:space="preserve">This brings up the elephant in the room: honesty. As secretary of the Department of the Environment and Energy, Dr de </w:t>
      </w:r>
      <w:proofErr w:type="spellStart"/>
      <w:r>
        <w:rPr>
          <w:szCs w:val="22"/>
        </w:rPr>
        <w:t>Brouwer</w:t>
      </w:r>
      <w:proofErr w:type="spellEnd"/>
      <w:r>
        <w:rPr>
          <w:szCs w:val="22"/>
        </w:rPr>
        <w:t xml:space="preserve"> PSM drew the ire of various commentators</w:t>
      </w:r>
      <w:r>
        <w:rPr>
          <w:rStyle w:val="FootnoteReference"/>
          <w:szCs w:val="22"/>
        </w:rPr>
        <w:footnoteReference w:id="12"/>
      </w:r>
      <w:r>
        <w:rPr>
          <w:szCs w:val="22"/>
        </w:rPr>
        <w:t xml:space="preserve"> when he argued that the current framing of freedom of information laws in a ‘</w:t>
      </w:r>
      <w:proofErr w:type="spellStart"/>
      <w:r>
        <w:rPr>
          <w:szCs w:val="22"/>
        </w:rPr>
        <w:t>gotcha</w:t>
      </w:r>
      <w:proofErr w:type="spellEnd"/>
      <w:r>
        <w:rPr>
          <w:szCs w:val="22"/>
        </w:rPr>
        <w:t xml:space="preserve">’-oriented media environment impeded honest advice to the Minister. The </w:t>
      </w:r>
      <w:proofErr w:type="spellStart"/>
      <w:r>
        <w:rPr>
          <w:szCs w:val="22"/>
        </w:rPr>
        <w:t>Shergold</w:t>
      </w:r>
      <w:proofErr w:type="spellEnd"/>
      <w:r>
        <w:rPr>
          <w:szCs w:val="22"/>
        </w:rPr>
        <w:t xml:space="preserve"> Review found that an unwillingness to give frank and fearless advice in writing </w:t>
      </w:r>
      <w:r w:rsidR="00254644">
        <w:rPr>
          <w:szCs w:val="22"/>
        </w:rPr>
        <w:t>substantially</w:t>
      </w:r>
      <w:r>
        <w:rPr>
          <w:szCs w:val="22"/>
        </w:rPr>
        <w:t xml:space="preserve"> contributed to the home insulation scheme deaths.</w:t>
      </w:r>
      <w:r w:rsidR="00254644">
        <w:rPr>
          <w:rStyle w:val="FootnoteReference"/>
          <w:szCs w:val="22"/>
        </w:rPr>
        <w:footnoteReference w:id="13"/>
      </w:r>
      <w:r>
        <w:rPr>
          <w:szCs w:val="22"/>
        </w:rPr>
        <w:t xml:space="preserve"> APS Census results consistently indicate a firm belief among staff that they are not allowed to b</w:t>
      </w:r>
      <w:r w:rsidR="00654B50">
        <w:rPr>
          <w:szCs w:val="22"/>
        </w:rPr>
        <w:t>e</w:t>
      </w:r>
      <w:r>
        <w:rPr>
          <w:szCs w:val="22"/>
        </w:rPr>
        <w:t xml:space="preserve"> truthful in their briefings</w:t>
      </w:r>
      <w:r w:rsidR="00654B50">
        <w:rPr>
          <w:szCs w:val="22"/>
        </w:rPr>
        <w:t>, and that they have seen and experienced</w:t>
      </w:r>
      <w:r w:rsidR="00BA190F">
        <w:rPr>
          <w:szCs w:val="22"/>
        </w:rPr>
        <w:t xml:space="preserve"> severe consequences from speaking truth to power. All of the proposals in the ‘Priorities for Change’ report rely on the public service having the space to be honest: with itself, with its Ministers, and with the public. Evaluation needs permission to report failures and own them.</w:t>
      </w:r>
      <w:r w:rsidR="00BA190F">
        <w:rPr>
          <w:rStyle w:val="FootnoteReference"/>
          <w:szCs w:val="22"/>
        </w:rPr>
        <w:footnoteReference w:id="14"/>
      </w:r>
      <w:r w:rsidR="00BA190F">
        <w:rPr>
          <w:szCs w:val="22"/>
        </w:rPr>
        <w:t xml:space="preserve"> Developing world class policy requires the space to tell the Minister their pet project is a bad idea.</w:t>
      </w:r>
      <w:r w:rsidR="00BA190F">
        <w:rPr>
          <w:rStyle w:val="FootnoteReference"/>
          <w:szCs w:val="22"/>
        </w:rPr>
        <w:footnoteReference w:id="15"/>
      </w:r>
      <w:r w:rsidR="00BA190F">
        <w:rPr>
          <w:szCs w:val="22"/>
        </w:rPr>
        <w:t xml:space="preserve"> Trust in institutions requires that the public have lived experiences of the institutions owning their mistakes. And for staff to subscribe to a uniting vision of collective endeavour requires that staff have the highest levels of fair in their organisations’ ability to operate effectively, fairly, and honestly.</w:t>
      </w:r>
    </w:p>
    <w:p w:rsidR="00F75748" w:rsidRDefault="00F75748" w:rsidP="001D66CF">
      <w:pPr>
        <w:spacing w:after="120" w:line="276" w:lineRule="auto"/>
        <w:rPr>
          <w:szCs w:val="22"/>
        </w:rPr>
      </w:pPr>
      <w:r>
        <w:rPr>
          <w:szCs w:val="22"/>
        </w:rPr>
        <w:t>Loyalty is not automatic. Faith is not the default. To earn those things once again from staff rendered fearful and cynical by repeated injunctions not to tell the truth will require that the</w:t>
      </w:r>
      <w:r w:rsidR="00A01AF9">
        <w:rPr>
          <w:szCs w:val="22"/>
        </w:rPr>
        <w:t xml:space="preserve"> public service as a whole give</w:t>
      </w:r>
      <w:r>
        <w:rPr>
          <w:szCs w:val="22"/>
        </w:rPr>
        <w:t xml:space="preserve"> staff an entirely different experience of what it is to be a public servant in contemporary Australia.</w:t>
      </w:r>
      <w:r w:rsidR="00A01AF9">
        <w:rPr>
          <w:szCs w:val="22"/>
        </w:rPr>
        <w:t xml:space="preserve"> Why should they open themselves to yet more emotional and identity risk for anything less?</w:t>
      </w:r>
      <w:bookmarkStart w:id="0" w:name="_GoBack"/>
      <w:bookmarkEnd w:id="0"/>
    </w:p>
    <w:p w:rsidR="00BA190F" w:rsidRDefault="00BA190F" w:rsidP="001D66CF">
      <w:pPr>
        <w:spacing w:after="120" w:line="276" w:lineRule="auto"/>
        <w:jc w:val="center"/>
        <w:rPr>
          <w:szCs w:val="22"/>
        </w:rPr>
      </w:pPr>
      <w:r>
        <w:rPr>
          <w:szCs w:val="22"/>
        </w:rPr>
        <w:t>*</w:t>
      </w:r>
      <w:r>
        <w:rPr>
          <w:szCs w:val="22"/>
        </w:rPr>
        <w:tab/>
        <w:t>*</w:t>
      </w:r>
      <w:r>
        <w:rPr>
          <w:szCs w:val="22"/>
        </w:rPr>
        <w:tab/>
        <w:t>*</w:t>
      </w:r>
    </w:p>
    <w:p w:rsidR="00BA190F" w:rsidRDefault="00BA190F" w:rsidP="001D66CF">
      <w:pPr>
        <w:spacing w:after="120" w:line="276" w:lineRule="auto"/>
        <w:rPr>
          <w:szCs w:val="22"/>
        </w:rPr>
      </w:pPr>
      <w:r>
        <w:rPr>
          <w:szCs w:val="22"/>
        </w:rPr>
        <w:t xml:space="preserve">In conclusion, I believe the APS Review has not yet made the case for its priorities for change. To make that case the review needs to include </w:t>
      </w:r>
      <w:r w:rsidR="005C1260">
        <w:rPr>
          <w:szCs w:val="22"/>
        </w:rPr>
        <w:t xml:space="preserve">the following </w:t>
      </w:r>
      <w:r>
        <w:rPr>
          <w:szCs w:val="22"/>
        </w:rPr>
        <w:t>additional pieces of the argument.</w:t>
      </w:r>
      <w:r w:rsidR="005C1260">
        <w:rPr>
          <w:szCs w:val="22"/>
        </w:rPr>
        <w:t xml:space="preserve"> Firstly, it needs to articulate a clear theory of change, with an analysis of the present state of the APS, an identified (and justified) desired future state, and a pathway to get there. Secondly, the review needs to provide meaningful guidance on implementation. That guidance needs to engage with the experience of work of APS-level staff, in a way that acknowledges staff are the agents on whose actions successful change will depend. Finally, the review needs to acknowledge the key barrier to successful change: that all available information indicates the APS has lost the space it needs to deal honestly and to evaluate and advise meaningfully.</w:t>
      </w:r>
    </w:p>
    <w:p w:rsidR="005C1260" w:rsidRDefault="005C1260" w:rsidP="001D66CF">
      <w:pPr>
        <w:spacing w:after="120" w:line="276" w:lineRule="auto"/>
        <w:rPr>
          <w:szCs w:val="22"/>
        </w:rPr>
      </w:pPr>
    </w:p>
    <w:p w:rsidR="005C1260" w:rsidRDefault="005C1260" w:rsidP="001D66CF">
      <w:pPr>
        <w:spacing w:after="120" w:line="276" w:lineRule="auto"/>
        <w:rPr>
          <w:szCs w:val="22"/>
        </w:rPr>
      </w:pPr>
      <w:r>
        <w:rPr>
          <w:szCs w:val="22"/>
        </w:rPr>
        <w:t>Yours Sincerely,</w:t>
      </w:r>
    </w:p>
    <w:p w:rsidR="005C1260" w:rsidRDefault="005C1260" w:rsidP="001D66CF">
      <w:pPr>
        <w:spacing w:after="120" w:line="276" w:lineRule="auto"/>
        <w:rPr>
          <w:szCs w:val="22"/>
        </w:rPr>
      </w:pPr>
    </w:p>
    <w:p w:rsidR="005C1260" w:rsidRDefault="005C1260" w:rsidP="001D66CF">
      <w:pPr>
        <w:spacing w:after="120" w:line="276" w:lineRule="auto"/>
        <w:rPr>
          <w:szCs w:val="22"/>
        </w:rPr>
      </w:pPr>
      <w:r>
        <w:rPr>
          <w:szCs w:val="22"/>
        </w:rPr>
        <w:t>Zac Neulinger.</w:t>
      </w:r>
    </w:p>
    <w:p w:rsidR="004B4E1E" w:rsidRDefault="004B4E1E" w:rsidP="001D66CF">
      <w:pPr>
        <w:spacing w:after="120" w:line="276" w:lineRule="auto"/>
        <w:rPr>
          <w:szCs w:val="22"/>
        </w:rPr>
      </w:pPr>
    </w:p>
    <w:p w:rsidR="004B4E1E" w:rsidRDefault="004B4E1E" w:rsidP="001D66CF">
      <w:pPr>
        <w:spacing w:after="120" w:line="276" w:lineRule="auto"/>
        <w:rPr>
          <w:szCs w:val="22"/>
        </w:rPr>
        <w:sectPr w:rsidR="004B4E1E" w:rsidSect="00D9337A">
          <w:headerReference w:type="default" r:id="rId11"/>
          <w:footerReference w:type="default" r:id="rId12"/>
          <w:headerReference w:type="first" r:id="rId13"/>
          <w:pgSz w:w="11906" w:h="16838"/>
          <w:pgMar w:top="851" w:right="851" w:bottom="567" w:left="851" w:header="425" w:footer="425" w:gutter="0"/>
          <w:pgNumType w:start="1"/>
          <w:cols w:space="708"/>
          <w:titlePg/>
          <w:docGrid w:linePitch="360"/>
        </w:sectPr>
      </w:pPr>
    </w:p>
    <w:p w:rsidR="004B4E1E" w:rsidRDefault="004B4E1E" w:rsidP="001D66CF">
      <w:pPr>
        <w:spacing w:after="120" w:line="276" w:lineRule="auto"/>
        <w:rPr>
          <w:szCs w:val="22"/>
        </w:rPr>
      </w:pPr>
      <w:r w:rsidRPr="00F63DB6">
        <w:rPr>
          <w:szCs w:val="22"/>
          <w:u w:val="single"/>
        </w:rPr>
        <w:t>Attachment A: Original Submission – July 2018</w:t>
      </w:r>
      <w:r w:rsidR="00F63DB6">
        <w:rPr>
          <w:szCs w:val="22"/>
          <w:u w:val="single"/>
        </w:rPr>
        <w:t>:</w:t>
      </w:r>
    </w:p>
    <w:p w:rsidR="00F63DB6" w:rsidRDefault="00F63DB6" w:rsidP="001D66CF">
      <w:pPr>
        <w:spacing w:after="120" w:line="276" w:lineRule="auto"/>
        <w:rPr>
          <w:szCs w:val="22"/>
        </w:rPr>
      </w:pPr>
    </w:p>
    <w:p w:rsidR="00F63DB6" w:rsidRPr="008F0B4A" w:rsidRDefault="00F63DB6" w:rsidP="00F63DB6">
      <w:pPr>
        <w:spacing w:line="276" w:lineRule="auto"/>
        <w:rPr>
          <w:rFonts w:cs="Arial"/>
          <w:szCs w:val="22"/>
        </w:rPr>
      </w:pPr>
      <w:r>
        <w:rPr>
          <w:rFonts w:cs="Arial"/>
          <w:szCs w:val="22"/>
        </w:rPr>
        <w:t>Dear APS Review Panel Members,</w:t>
      </w:r>
    </w:p>
    <w:p w:rsidR="00F63DB6" w:rsidRPr="008F0B4A" w:rsidRDefault="00F63DB6" w:rsidP="00F63DB6">
      <w:pPr>
        <w:spacing w:line="276" w:lineRule="auto"/>
        <w:rPr>
          <w:rFonts w:cs="Arial"/>
          <w:szCs w:val="22"/>
        </w:rPr>
      </w:pP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The Terms of Reference for this Review start by praising public servants as skilled professionals, and then go on to declare the need for sweeping change so the APS can adapt to digital disruption and a changing society. I agree with both statements. I also note they echo themes that have been common to almost all reviews of the public service since the Coombs Royal Commission. In this submission, I would like to make a plea for the Panel to remember those same ‘skilled professionals’ who will implement the public service reforms the Panel recommends, and I would like to offer that those ordinary public servants may well see the world through very different eyes. I believe the divergence between the views of the people writing past APS reviews and the views of the front-line public servants tasked with implementation go a long way towards explaining the limited success of many past reform projects.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In this submission, I first argue that the general principles needed for reform have been fairly widely agreed for some time, and challenges in achieving reform have been at least in part implementation problems stemming from unsuccessful engagement of a key stakeholder – ordinary public servants. I then explain why I believe that there is at least a sizeable subgroup of public servants who understand their jobs quite differently from how many executive and senior executive understand the role of the public service. Thirdly, I note that current efforts to engage this subgroup are generally unsuccessful, and describe the processes I see causing that failure. Finally, I offer some suggestions on what it might take to achieve the kind of meaningful change this Review and so many other reviews have genuinely sought to drive.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This submission represents only my own views, shaped by one individual’s experiences. I do not speak for my Department, and I cannot claim any kind of universal insight into public servants’ thinking – especially as I am still very early in my career. I therefore am not claiming that all, or even a majority of, public servants approach their jobs in any particular way. What I describe in this submission is, however, a pattern that appears to be reasonably common, and it is a pattern that I have seen frustrate many efforts at cultural change, at innovation, and sometimes even the gentlest preliminary discussions of whether better ways might be possible, long before implementation began to be discussed.</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I apologise if passages of this submission are unclear – cultural change is a classic ‘wicked’ problem and it is therefore challenging to describe all the relevant facets. I would be happy to provide clarification or additional information.</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Yours Sincerely,</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p>
    <w:p w:rsidR="00F63DB6" w:rsidRPr="008F0B4A" w:rsidRDefault="00F63DB6" w:rsidP="00F63DB6">
      <w:pPr>
        <w:spacing w:line="276" w:lineRule="auto"/>
        <w:rPr>
          <w:rFonts w:cs="Arial"/>
          <w:szCs w:val="22"/>
        </w:rPr>
      </w:pPr>
      <w:r>
        <w:rPr>
          <w:rFonts w:cs="Arial"/>
          <w:szCs w:val="22"/>
        </w:rPr>
        <w:t>Zac Neulinger.</w:t>
      </w:r>
    </w:p>
    <w:p w:rsidR="00F63DB6" w:rsidRDefault="00F63DB6" w:rsidP="00F63DB6">
      <w:pPr>
        <w:spacing w:line="276" w:lineRule="auto"/>
        <w:rPr>
          <w:rFonts w:cs="Arial"/>
          <w:szCs w:val="22"/>
        </w:rPr>
      </w:pPr>
      <w:r w:rsidRPr="008F0B4A">
        <w:rPr>
          <w:rFonts w:cs="Arial"/>
          <w:szCs w:val="22"/>
        </w:rPr>
        <w:br w:type="page"/>
      </w:r>
    </w:p>
    <w:p w:rsidR="00F63DB6" w:rsidRDefault="00F63DB6" w:rsidP="00F63DB6">
      <w:pPr>
        <w:spacing w:line="276" w:lineRule="auto"/>
        <w:rPr>
          <w:rFonts w:cs="Arial"/>
          <w:szCs w:val="22"/>
        </w:rPr>
      </w:pPr>
      <w:r>
        <w:rPr>
          <w:rFonts w:cs="Arial"/>
          <w:szCs w:val="22"/>
        </w:rPr>
        <w:t>The world looks different from the bottom of the heap.</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Class is not a new concept, nor is the idea that different groups will experience policy change very differently depending on their background, skill set, resources, and general world view. This understanding is what drives concepts like skill-biased technology change and standard social policy analyses of the interaction between policy change and disadvantage – some people are better placed than others to take advantage of new technology, and some people will find ‘simple’ administrative burdens far more crippling than would an ‘average’ person.</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Yet class-like analyses are very rarely applied to the public service itself. While the APS Census collects data on public service diversity, departments very rarely consider what that diversity means for how internal changes will affect different groups of staff – particularly how policy changes about how staff should conduct their work and how staff should understand their jobs will be helped or hindered by those staff members’ backgrounds and pre-existing views.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It is therefore not surprising that McKinsey and Company’s recent global report on government transformation projects found 80% of public sector reforms fail to meet their objectives.</w:t>
      </w:r>
      <w:r>
        <w:rPr>
          <w:rStyle w:val="FootnoteReference"/>
          <w:rFonts w:cs="Arial"/>
          <w:szCs w:val="22"/>
        </w:rPr>
        <w:footnoteReference w:id="16"/>
      </w:r>
      <w:r>
        <w:rPr>
          <w:rFonts w:cs="Arial"/>
          <w:szCs w:val="22"/>
        </w:rPr>
        <w:t xml:space="preserve"> This is not an exclusively Australian problem – the failure rate is consistent globally. The McKinsey analysis matches the information presented in the APSC’s </w:t>
      </w:r>
      <w:r w:rsidRPr="00E8198A">
        <w:rPr>
          <w:rFonts w:cs="Arial"/>
          <w:i/>
          <w:iCs/>
          <w:szCs w:val="22"/>
        </w:rPr>
        <w:t>Occasional Paper Two (2003): The Australian Experience of Public Sector Reform</w:t>
      </w:r>
      <w:r>
        <w:rPr>
          <w:rFonts w:cs="Arial"/>
          <w:szCs w:val="22"/>
        </w:rPr>
        <w:t>.</w:t>
      </w:r>
      <w:r>
        <w:rPr>
          <w:rStyle w:val="FootnoteReference"/>
          <w:rFonts w:cs="Arial"/>
          <w:szCs w:val="22"/>
        </w:rPr>
        <w:footnoteReference w:id="17"/>
      </w:r>
      <w:r>
        <w:rPr>
          <w:rFonts w:cs="Arial"/>
          <w:szCs w:val="22"/>
        </w:rPr>
        <w:t xml:space="preserve"> The Occasional Paper details roughly 25 years of whole-of-APS reform efforts following the Coombs Royal Commission, noting similar themes emerged in each review:</w:t>
      </w:r>
    </w:p>
    <w:p w:rsidR="00F63DB6" w:rsidRDefault="00F63DB6" w:rsidP="00F63DB6">
      <w:pPr>
        <w:spacing w:line="276" w:lineRule="auto"/>
        <w:rPr>
          <w:rFonts w:cs="Arial"/>
          <w:szCs w:val="22"/>
        </w:rPr>
      </w:pPr>
    </w:p>
    <w:p w:rsidR="00F63DB6" w:rsidRDefault="00F63DB6" w:rsidP="00F63DB6">
      <w:pPr>
        <w:numPr>
          <w:ilvl w:val="0"/>
          <w:numId w:val="49"/>
        </w:numPr>
        <w:spacing w:after="120" w:line="276" w:lineRule="auto"/>
        <w:ind w:left="714" w:hanging="357"/>
        <w:rPr>
          <w:rFonts w:cs="Arial"/>
          <w:szCs w:val="22"/>
        </w:rPr>
      </w:pPr>
      <w:r>
        <w:rPr>
          <w:rFonts w:cs="Arial"/>
          <w:szCs w:val="22"/>
        </w:rPr>
        <w:t>the need to improve responsiveness to government</w:t>
      </w:r>
    </w:p>
    <w:p w:rsidR="00F63DB6" w:rsidRDefault="00F63DB6" w:rsidP="00F63DB6">
      <w:pPr>
        <w:numPr>
          <w:ilvl w:val="0"/>
          <w:numId w:val="49"/>
        </w:numPr>
        <w:spacing w:after="120" w:line="276" w:lineRule="auto"/>
        <w:ind w:left="714" w:hanging="357"/>
        <w:rPr>
          <w:rFonts w:cs="Arial"/>
          <w:szCs w:val="22"/>
        </w:rPr>
      </w:pPr>
      <w:r>
        <w:rPr>
          <w:rFonts w:cs="Arial"/>
          <w:szCs w:val="22"/>
        </w:rPr>
        <w:t>the need to improve efficiency and effectiveness, including through more results-based management and less prescription</w:t>
      </w:r>
    </w:p>
    <w:p w:rsidR="00F63DB6" w:rsidRDefault="00F63DB6" w:rsidP="00F63DB6">
      <w:pPr>
        <w:numPr>
          <w:ilvl w:val="0"/>
          <w:numId w:val="49"/>
        </w:numPr>
        <w:spacing w:after="120" w:line="276" w:lineRule="auto"/>
        <w:ind w:left="714" w:hanging="357"/>
        <w:rPr>
          <w:rFonts w:cs="Arial"/>
          <w:szCs w:val="22"/>
        </w:rPr>
      </w:pPr>
      <w:r>
        <w:rPr>
          <w:rFonts w:cs="Arial"/>
          <w:szCs w:val="22"/>
        </w:rPr>
        <w:t>the need to increase community participation in policy design and implementation, and</w:t>
      </w:r>
    </w:p>
    <w:p w:rsidR="00F63DB6" w:rsidRDefault="00F63DB6" w:rsidP="00F63DB6">
      <w:pPr>
        <w:numPr>
          <w:ilvl w:val="0"/>
          <w:numId w:val="49"/>
        </w:numPr>
        <w:spacing w:line="276" w:lineRule="auto"/>
        <w:rPr>
          <w:rFonts w:cs="Arial"/>
          <w:szCs w:val="22"/>
        </w:rPr>
      </w:pPr>
      <w:proofErr w:type="gramStart"/>
      <w:r>
        <w:rPr>
          <w:rFonts w:cs="Arial"/>
          <w:szCs w:val="22"/>
        </w:rPr>
        <w:t>that</w:t>
      </w:r>
      <w:proofErr w:type="gramEnd"/>
      <w:r>
        <w:rPr>
          <w:rFonts w:cs="Arial"/>
          <w:szCs w:val="22"/>
        </w:rPr>
        <w:t xml:space="preserve"> better decision-making and service-delivery would occur if authority and responsibility were devolved to the officials implementing policies and programs.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Those have continued to appear in reviews since 2003, most recently in the 2015 </w:t>
      </w:r>
      <w:proofErr w:type="spellStart"/>
      <w:r>
        <w:rPr>
          <w:rFonts w:cs="Arial"/>
          <w:szCs w:val="22"/>
        </w:rPr>
        <w:t>Shergold</w:t>
      </w:r>
      <w:proofErr w:type="spellEnd"/>
      <w:r>
        <w:rPr>
          <w:rFonts w:cs="Arial"/>
          <w:szCs w:val="22"/>
        </w:rPr>
        <w:t xml:space="preserve"> Review.</w:t>
      </w:r>
      <w:r>
        <w:rPr>
          <w:rStyle w:val="FootnoteReference"/>
          <w:rFonts w:cs="Arial"/>
          <w:szCs w:val="22"/>
        </w:rPr>
        <w:footnoteReference w:id="18"/>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That the same issues continue appearing reviews of the APS indicates reform efforts are not succeeding.</w:t>
      </w:r>
      <w:r>
        <w:rPr>
          <w:rStyle w:val="FootnoteReference"/>
          <w:rFonts w:cs="Arial"/>
          <w:szCs w:val="22"/>
        </w:rPr>
        <w:footnoteReference w:id="19"/>
      </w:r>
      <w:r>
        <w:rPr>
          <w:rFonts w:cs="Arial"/>
          <w:szCs w:val="22"/>
        </w:rPr>
        <w:t xml:space="preserve"> Indeed, the Terms of Reference for this review indicate the Government is concerned the APS still has not achieved sufficient efficiency and adaptability, and data on public trust in government suggests the APS is not yet achieving sound, meaningful engagement with the public (many studies have now demonstrated public trust in the APS is at an all-time low).</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I believe one of the factors making reform so difficult is that attempts to engage public servants in the change process are generally fairly unsuccessful. Jeffrey Pressman and Aaron </w:t>
      </w:r>
      <w:proofErr w:type="spellStart"/>
      <w:r>
        <w:rPr>
          <w:rFonts w:cs="Arial"/>
          <w:szCs w:val="22"/>
        </w:rPr>
        <w:t>Wildavsky’s</w:t>
      </w:r>
      <w:proofErr w:type="spellEnd"/>
      <w:r>
        <w:rPr>
          <w:rFonts w:cs="Arial"/>
          <w:szCs w:val="22"/>
        </w:rPr>
        <w:t xml:space="preserve"> seminal analysis of decision-point friction and cultural inertia still holds true today – where a program or reform depends on the cooperation of a large number of decisions, both formal and informal, by people with contrasting and potentially conflicting views of the program’s purpose, outcomes, and general merit, it will prove extremely difficult to achieve success unless all the relevant decision-makers can be won over.</w:t>
      </w:r>
      <w:r>
        <w:rPr>
          <w:rStyle w:val="FootnoteReference"/>
          <w:rFonts w:cs="Arial"/>
          <w:szCs w:val="22"/>
        </w:rPr>
        <w:footnoteReference w:id="20"/>
      </w:r>
      <w:r>
        <w:rPr>
          <w:rFonts w:cs="Arial"/>
          <w:szCs w:val="22"/>
        </w:rPr>
        <w:t xml:space="preserve"> The public service recognises this when engaging the general public (with varying degrees of success), and to an extent recognises it when working with its own staff – thus the concept of ‘internal’ stakeholders. However, the limited success of public sector reforms, the pervasiveness of ‘change fatigue’, and a strong correlation in APS census results between areas experiencing major structural and policy change and areas with low </w:t>
      </w:r>
      <w:proofErr w:type="spellStart"/>
      <w:r>
        <w:rPr>
          <w:rFonts w:cs="Arial"/>
          <w:szCs w:val="22"/>
        </w:rPr>
        <w:t>moral</w:t>
      </w:r>
      <w:proofErr w:type="spellEnd"/>
      <w:r>
        <w:rPr>
          <w:rFonts w:cs="Arial"/>
          <w:szCs w:val="22"/>
        </w:rPr>
        <w:t>, would suggest that change management is not sufficiently effective, at least when dealing with internal change.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The discipline of Behavioural Insights would also concur with Pressman and </w:t>
      </w:r>
      <w:proofErr w:type="spellStart"/>
      <w:r>
        <w:rPr>
          <w:rFonts w:cs="Arial"/>
          <w:szCs w:val="22"/>
        </w:rPr>
        <w:t>Wildavsky</w:t>
      </w:r>
      <w:proofErr w:type="spellEnd"/>
      <w:r>
        <w:rPr>
          <w:rFonts w:cs="Arial"/>
          <w:szCs w:val="22"/>
        </w:rPr>
        <w:t xml:space="preserve"> that each person involved in implementing a program becomes a de facto decision-maker.</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What I see in APS internal change management processes is usually a genuine attempt by the SES and by the staff tasked with managing the change to explain the change, allay staff concerns, and achieve ‘buy-in’. I am yet to see it succeed. A People Working Group in my Department, set up by staff voluntarily, and given the blessing of the relevant departmental and divisional executive, recently surveyed a division post-restructure about how staff felt about the restructure process, and particularly how they felt about the consultation around the restructure. The results were very clear – staff felt simultaneously over-consulted and under-consulted. That is, the same staff members reported feeling completely in the dark about the reasons for the restructure, what effect it was going to have on them, and whether they needed to do anything as part of the restructure, while also feeling fed up with hearing long, uninformative speeches about the restructure at long, uninformative meetings. Staff felt consulted at, rather than consulted with.</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The consultation process I observed leading up to that restructure involved extended talks on the need to balance workloads more evenly between SES, and how the new structure would be more efficient for the Department as it would collocate related functions into single branches. There was also a great deal of information about the overarching policy context behind the restructure. None of the information presented was grounded in the daily experiences of APS-level staff. Staff reported not being able to connect the wider context with their understandings of the work they did, nor to connect SES statements that things were changing markedly with APS perceptions their daily work was unchanged. The language used to describe functions – even functions they worked with closely – seemed alien to APS-level staff. They could not find the missing link between the picture described in consultations, and their lived experiences of work. Of course staff morale was low after that process – how could it be otherwise?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This example is one anecdote of a minor change in a small area of one department. Morale rapidly returned to normal. Staff continued their on-going work with truthfully very little impact. The restructure was sensible, and had been designed well to minimise disruption. The problem was not the policy; the problem was the engagement. This example does not, therefore, flag a particularly awful process, but rather it demonstrates how even on simple changes disconnects between staff and SES can flourish.</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Two factors produced </w:t>
      </w:r>
      <w:proofErr w:type="gramStart"/>
      <w:r>
        <w:rPr>
          <w:rFonts w:cs="Arial"/>
          <w:szCs w:val="22"/>
        </w:rPr>
        <w:t>the disconnect</w:t>
      </w:r>
      <w:proofErr w:type="gramEnd"/>
      <w:r>
        <w:rPr>
          <w:rFonts w:cs="Arial"/>
          <w:szCs w:val="22"/>
        </w:rPr>
        <w:t xml:space="preserve"> in the example above. Firstly, the SES saw the restructure as a large change requiring extensive consultation because it would make a large change in their workloads, whereas for staff the change was very minor. Presenting the restructure as a large change therefore confused staff. Secondly, the SES used generalist terminology and overarching theoretical concepts to discuss work changes, concepts like ‘operational maturity’. Staff understood their work in specific, grounded language tied to their daily tasks. To them, generic terms and high-level program theories had no meaning. Both sides approached the project with good will, and acted reasonably throughout, but the frames of reference were too different, and there was no process to recognise and reconnect the disconnected frames.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Misaligned frameworks for understanding tasks, work-types, and strategic contexts are a common source of conflict and distress in cultural change programs, and are not unique to the APS. The CEO of a bank sees the bank’s work very differently than do the tellers in public offices. I understand that this Review has fundamentally been asked to provide recommendations that will drive cultural change across the Australian Public Service. For this Review to succeed, it must therefore engage with the very different ways staff at different levels and across different areas understand their jobs, and see the role of the APS as a whole. Not so long ago, the APS embraced (at least for a time) Behavioural Insights. Professor Michael </w:t>
      </w:r>
      <w:proofErr w:type="spellStart"/>
      <w:r>
        <w:rPr>
          <w:rFonts w:cs="Arial"/>
          <w:szCs w:val="22"/>
        </w:rPr>
        <w:t>Hiscox</w:t>
      </w:r>
      <w:proofErr w:type="spellEnd"/>
      <w:r>
        <w:rPr>
          <w:rFonts w:cs="Arial"/>
          <w:szCs w:val="22"/>
        </w:rPr>
        <w:t xml:space="preserve"> (founding director of BETA within the Department of Prime Minister and Cabinet) has argued many times that the two key insights from Behavioural Insights are that program implementation and behaviour change have to be designed for the specific people being targeted, and that therefore what works for one group cannot be assumed to work for another. Cultural change in the APS needs to start from a recognition of the different cultures that already exist.</w:t>
      </w:r>
      <w:r>
        <w:rPr>
          <w:rStyle w:val="FootnoteReference"/>
          <w:rFonts w:cs="Arial"/>
          <w:szCs w:val="22"/>
        </w:rPr>
        <w:footnoteReference w:id="21"/>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This submission cannot describe all the cultural groups across the APS, not least because I simply do not have the information needed to speak meaningfully about areas outside my own Department. That said, I can speak to one particular divide that I think is particularly important. What I observe when I hear senior public servants talking about reforming the public service is a focus on management, and management structures. What I hear APS-level staff ask for is the removal of immediate pain-points and specific inefficient processes.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Innovation is an excellent example. Innovation is generally promoted by creating an innovation team, who then use SES to encourage staff to innovate. Permission is given for staff to try new things, and come up with new ideas. There are ‘Failure Days’, where SES talk about important failures they had, what they learned from those failures, and why failing didn’t need to be the end of the story. These are all important things, particularly the </w:t>
      </w:r>
      <w:proofErr w:type="spellStart"/>
      <w:r>
        <w:rPr>
          <w:rFonts w:cs="Arial"/>
          <w:szCs w:val="22"/>
        </w:rPr>
        <w:t>permissioning</w:t>
      </w:r>
      <w:proofErr w:type="spellEnd"/>
      <w:r>
        <w:rPr>
          <w:rFonts w:cs="Arial"/>
          <w:szCs w:val="22"/>
        </w:rPr>
        <w:t xml:space="preserve"> of experimentation and appropriate risk-taking. I also accept that the SES providing such messages are entirely genuine in their desire to encourage innovation. The problem that I see is that these strategies assume that management are the key actor, that staff are raring to go out and innovate, and that when managers use their agency to remove the immediate barriers, staff will automatically take up the opportunities presented. Such an approach discounts, or at least fails to engage with, staff as agents in their own right, and therefore fails to address the other factors shaping staff actions and decision-making.</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With innovation, the other barriers staff face are well-documented. Staff are short on time, do not directly control many of the resources needed to undertake innovation, and most importantly they are not able unilaterally to try new things. New processes require consultation, coordination, and clearance. A staff member thinks up a new way of doing something. They talk to their supervisor, and manages to persuade the supervisor to try the idea – with perhaps some minor modifications. The staff member then goes to the rest of the team, consults, adopts modifications and compromises to secure buy-in, but does eventually get agreement that the team will try the new idea. With the team’s support, the staff member gets permission to write a paper proposing the modified idea to their SES (generally a Branch Head). With a few more tweaks, and maybe some of the more radical edges smoothed, the Director clears the paper, and the Branch Head agrees the idea may have merit, so it is appropriate to consult other teams, and then other branches. So begins the long march of consultation and the coordination water-torture, as further modification and slow compromise are used to assuage fears (grounded or otherwise) and secure buy-in, gradually draining the idea of novelty and the staff member of energy. It is not surprising that very few innovations survive this process. By simple attrition, the process of getting an innovation agreed to – not by SES, but by peers – grinds away the will to innovate.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As with innovation, staff using their agency to act on, and constrain, other staff are the major barrier to cultural change. Change becomes impossible, even with the best will in the world, because the inertia is too high. The causes of cultural inertia are also well documented: staff are busy, and fundamentally human beings are resistant to change. This is particularly the case when staff see that change as ‘not my job’. And ‘not my job’ tends to be highly resistant to persuasion or lawful direction to the contrary.</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‘Not my job’, in my view, gets to an important distinction between two different kinds of APS officer (I am not saying this is the only distinction, that there are only two types, that all APS can be placed in one category or the other, or even that a single officer will not move between the different behavioural patterns depending on the situation. Nor, interestingly, do I make a value judgement between the categories. I do, though, stand by this distinction as an analytically useful one for designing cultural change programs).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The ‘typical’, or possibly the ‘ideal’, APS staff member described in many reviews, and in many speeches by senior executives, appears to be a generalist, career-driven professional whose commitment to excellence manifests in wanting to achieve a strong outcome for their current project, and who will be equally committed to achieving a strong outcome in their next project in a different area. While they take pride in the work their Department does, they are happy – and possibly even eager – to move between Departments to work on the next project, gain new experience, and continue serving the government of the day. This picture of what the career of a successful, effective member of the APS ‘should’ look like is evident in the description of high-performing ‘tiger teams’ in the </w:t>
      </w:r>
      <w:proofErr w:type="spellStart"/>
      <w:r>
        <w:rPr>
          <w:rFonts w:cs="Arial"/>
          <w:szCs w:val="22"/>
        </w:rPr>
        <w:t>Shergold</w:t>
      </w:r>
      <w:proofErr w:type="spellEnd"/>
      <w:r>
        <w:rPr>
          <w:rFonts w:cs="Arial"/>
          <w:szCs w:val="22"/>
        </w:rPr>
        <w:t xml:space="preserve"> Review, in the discussion of the need for increased staff mobility discussed by Dr Heather Smith PSM in her recent ‘Doing Policy Differently’ speech for the Institute of Public Administration Australia, and in the Terms of Reference for this Review, which describe the need to nurture talent, increase staff flexibility, and promote whole-of-government approaches.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There is nothing wrong with such a person, and the flexibility and strategic scale thinking such people display are often highly valuable to the public service. It is also not necessarily what many staff want.</w:t>
      </w:r>
      <w:r>
        <w:rPr>
          <w:rStyle w:val="FootnoteReference"/>
          <w:rFonts w:cs="Arial"/>
          <w:szCs w:val="22"/>
        </w:rPr>
        <w:footnoteReference w:id="22"/>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Many staff choose to work in an area not because they are necessarily passionate about the public service as a whole, but because they are passionate about that area. These are staff who stay in one portfolio, often even one Department, for their entire careers, specialising in their jobs, identifying with that specific role, and becoming intimately familiar with it. These staff generally acknowledge that there is a trade-off in staying in a single comfortable area – there are severe limits to promotion opportunities – and those staff have decided to accept them. I work with many staff like this, who are invaluable repositories of corporate knowledge and lived experience of the challenges and the options available in their area, so there is also nothing wrong with staff who </w:t>
      </w:r>
      <w:proofErr w:type="gramStart"/>
      <w:r>
        <w:rPr>
          <w:rFonts w:cs="Arial"/>
          <w:szCs w:val="22"/>
        </w:rPr>
        <w:t>find</w:t>
      </w:r>
      <w:proofErr w:type="gramEnd"/>
      <w:r>
        <w:rPr>
          <w:rFonts w:cs="Arial"/>
          <w:szCs w:val="22"/>
        </w:rPr>
        <w:t xml:space="preserve"> their niche.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Yet I have not come across a policy paper, senior executive speech, or review report on reforming the APS that talks about the place of specialist staff. I have not encountered a change process that recognises these kinds of staff have fundamentally different motivations to highly mobile staff and therefore need to be engaged with in entirely different ways.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That silence is particularly troubling because specialist staff are the staff most likely to feel threatened by change. If a person identifies closely with their job, then changes to their job can very easily feel like attacks on who they understand themselves to be. This is particularly the case with policy changes that alter which components of a job are emphasised and prioritised. To take a hypothetical example (because real examples could not avoid being sensitive and contentious), if we think of a career child protection officer being told that they were now also responsible for penalising families through withholding welfare payments if the child misses school, they would likely feel enormously conflicted – it would not feel like the job they had signed up to do. ‘Not my job’ would become an entirely understandable response to feeling like the identity they had as a person who helps people was being subsumed and eaten up by a new identity imposed on them as a person who punishes the sinful. (This example is not intended as a comment on policies proposed by any political party, it is merely intended as an example of values dissonance).</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The above is a very shallow analysis and a simplistic example but the general point is valid – to discuss public sector reform and staff mobility without recognition of staff who choose to be specialists, even knowing it will hamper their careers, is to ignore a large group of passionate, motivated staff who will therefore not only not be inclined to support the reforms but may actively oppose them owing to perceived identity threats.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Attempts at reform and cultural change without engaging such staff are also highly likely to fail. By their very nature, specialist staff will outlast more mobile staff in any given area, meaning specialist staff will become the keepers of the culture for their sections, branches, divisions, and sometimes even departments. With regards to innovation culture (which, from one perspective, could be seen as a rolling threat to how staff understand what their job is), it is particularly important to recognise and engage with specialist staff. These staff are the long institutional memories that can help innovators avoid pitfalls. They are also the crushing entropy that will grind away attempts at innovation that do not appropriately engage with specialist staff.</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Ironically, the specialist staff most resistant to change, especially those made cynical by previous failed changes, are also often the ones least motivated to engage with change processes. Though that is perhaps unsurprising.</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How then can the public service do ‘doing policy differently’ differently? I would start by noting cultural and institutional change are considered one of the classic ‘wicked’ problems, so I do not imagine there are simple answers. I also believe the intentions being expressed by SES presiding over change process, seeking to promote innovation, or trying to drive cultural changes are the right intentions. I hear what I believe to be thoroughly genuine statements about wanting to engage staff, wanting to get staff input into new processes, trying to permission new ideas, and wanting to run truly meaningful co-design processes. These are the right intentions; the meaning behind the words is right.</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What I think could be done differently is how managers think about and talk about changes are reforms. Rather than starting from the wider context and working down, engagement could start from the lived experience of staff, and then link to wider contexts. This could potentially be a framework that says “you staff tell me you take real pride in A, B, C, but that the things that are hard, that cause real pain, are X, Y, and Z. I think we have a way to solve X and Y (though Z could be tricky), and hopefully that should really strengthen A, B, and C. The idea being discussed is to do D and E. I want understand what you think about D and E, what worries you about the ideas, and whether you think there might be a better option F.”</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That said, I also hear SES says they believe they are already giving those kinds of speeches. To me, that suggests the words being used aren’t lining up with the understandings staff have of their jobs, which would mean the speech has to start at a simpler, more concrete level, using the words staff use. It may also suggest the message needs a different messenger, at least initially. The research on persuasion is fairly clear that a speaker who seems like the listener is more likely to be effective, and that small groups are easier to persuade. So SES may need to start out with small groups who are already sympathetic, and then have the members of those small groups work with other staff in a genuine spirit of inquiry to find good solutions and new options.</w:t>
      </w:r>
      <w:r>
        <w:rPr>
          <w:rStyle w:val="FootnoteReference"/>
          <w:rFonts w:cs="Arial"/>
          <w:szCs w:val="22"/>
        </w:rPr>
        <w:footnoteReference w:id="23"/>
      </w:r>
      <w:r>
        <w:rPr>
          <w:rFonts w:cs="Arial"/>
          <w:szCs w:val="22"/>
        </w:rPr>
        <w:t xml:space="preserve"> A spirit of inquiry may be challenging to demonstrate persuasively if staff in an area have become cynical about consultation and have come to see it (regardless of the reality) as a strategy to manufacture compliance and create acquiescence. The APS Census data suggests that such cynicism has become deeply embedded in many areas.</w:t>
      </w:r>
    </w:p>
    <w:p w:rsidR="00F63DB6" w:rsidRDefault="00F63DB6" w:rsidP="00F63DB6">
      <w:pPr>
        <w:spacing w:line="276" w:lineRule="auto"/>
        <w:rPr>
          <w:rFonts w:cs="Arial"/>
          <w:szCs w:val="22"/>
        </w:rPr>
      </w:pPr>
    </w:p>
    <w:p w:rsidR="00F63DB6" w:rsidRDefault="00F63DB6" w:rsidP="00F63DB6">
      <w:pPr>
        <w:spacing w:line="276" w:lineRule="auto"/>
        <w:rPr>
          <w:rFonts w:cs="Arial"/>
          <w:szCs w:val="22"/>
        </w:rPr>
      </w:pPr>
      <w:r>
        <w:rPr>
          <w:rFonts w:cs="Arial"/>
          <w:szCs w:val="22"/>
        </w:rPr>
        <w:t xml:space="preserve">There would be no guarantee that such an approach to cultural change would work, but it seems intuitively worth trying. It would also marry up with Blair </w:t>
      </w:r>
      <w:proofErr w:type="spellStart"/>
      <w:r>
        <w:rPr>
          <w:rFonts w:cs="Arial"/>
          <w:szCs w:val="22"/>
        </w:rPr>
        <w:t>Comley’s</w:t>
      </w:r>
      <w:proofErr w:type="spellEnd"/>
      <w:r>
        <w:rPr>
          <w:rFonts w:cs="Arial"/>
          <w:szCs w:val="22"/>
        </w:rPr>
        <w:t xml:space="preserve"> comments at the IPAA’s ‘Doing Policy Differently’ forum about the need to get ‘the other’ into the room, or possibly to go into a room filled with ‘the other’.</w:t>
      </w:r>
    </w:p>
    <w:p w:rsidR="00F63DB6" w:rsidRDefault="00F63DB6" w:rsidP="00F63DB6">
      <w:pPr>
        <w:spacing w:line="276" w:lineRule="auto"/>
        <w:jc w:val="center"/>
        <w:rPr>
          <w:rFonts w:cs="Arial"/>
          <w:szCs w:val="22"/>
        </w:rPr>
      </w:pPr>
      <w:r>
        <w:rPr>
          <w:rFonts w:cs="Arial"/>
          <w:szCs w:val="22"/>
        </w:rPr>
        <w:t>*</w:t>
      </w:r>
      <w:r>
        <w:rPr>
          <w:rFonts w:cs="Arial"/>
          <w:szCs w:val="22"/>
        </w:rPr>
        <w:tab/>
        <w:t>*</w:t>
      </w:r>
      <w:r>
        <w:rPr>
          <w:rFonts w:cs="Arial"/>
          <w:szCs w:val="22"/>
        </w:rPr>
        <w:tab/>
        <w:t>*</w:t>
      </w:r>
    </w:p>
    <w:p w:rsidR="00F63DB6" w:rsidRDefault="00F63DB6" w:rsidP="00F63DB6">
      <w:pPr>
        <w:spacing w:line="276" w:lineRule="auto"/>
        <w:jc w:val="center"/>
        <w:rPr>
          <w:rFonts w:cs="Arial"/>
          <w:szCs w:val="22"/>
        </w:rPr>
      </w:pPr>
    </w:p>
    <w:p w:rsidR="00F63DB6" w:rsidRDefault="00F63DB6" w:rsidP="00F63DB6">
      <w:pPr>
        <w:spacing w:line="276" w:lineRule="auto"/>
        <w:rPr>
          <w:rFonts w:cs="Arial"/>
          <w:szCs w:val="22"/>
        </w:rPr>
      </w:pPr>
      <w:r>
        <w:rPr>
          <w:rFonts w:cs="Arial"/>
          <w:szCs w:val="22"/>
        </w:rPr>
        <w:t>In conclusion, I see genuine, well-meant attempts at cultural change, at introducing innovation, and at policy reform, all failing in predictable ways due to what appears to be a failure to engage with certain kinds of public servant. I therefore urge the Panel to give serious consideration to how Departments can identify and work with radically different audiences within their own staff. I support whole-heartedly the goals outlined in the Terms of Reference, to create a flexible, innovative, digitally-adept public service. I believe a more layered engagement approach will be vital to enabling such reforms to succeed.</w:t>
      </w:r>
    </w:p>
    <w:p w:rsidR="00F63DB6" w:rsidRDefault="00F63DB6" w:rsidP="00F63DB6">
      <w:pPr>
        <w:spacing w:line="276" w:lineRule="auto"/>
        <w:rPr>
          <w:rFonts w:cs="Arial"/>
          <w:szCs w:val="22"/>
        </w:rPr>
      </w:pPr>
    </w:p>
    <w:p w:rsidR="00F63DB6" w:rsidRPr="00F63DB6" w:rsidRDefault="00F63DB6" w:rsidP="00F63DB6">
      <w:pPr>
        <w:spacing w:line="276" w:lineRule="auto"/>
        <w:rPr>
          <w:rFonts w:cs="Arial"/>
          <w:szCs w:val="22"/>
        </w:rPr>
      </w:pPr>
      <w:r>
        <w:rPr>
          <w:rFonts w:cs="Arial"/>
          <w:szCs w:val="22"/>
        </w:rPr>
        <w:t>Finally, to circle back to class and the public service, one of the defining features of socio-economic classes is the different outlooks each class has – how its members approach work, exercise agency, and what they want from life. In social policy, it would be self-evident that what benefits one social group may harm and can be traumatic for another and</w:t>
      </w:r>
      <w:r w:rsidRPr="00004989">
        <w:rPr>
          <w:rFonts w:cs="Arial"/>
          <w:szCs w:val="22"/>
        </w:rPr>
        <w:t xml:space="preserve"> </w:t>
      </w:r>
      <w:r>
        <w:rPr>
          <w:rFonts w:cs="Arial"/>
          <w:szCs w:val="22"/>
        </w:rPr>
        <w:t>therefore complex engagement strategies are needed. The same ought to be true in policy-making about the APS.</w:t>
      </w:r>
    </w:p>
    <w:sectPr w:rsidR="00F63DB6" w:rsidRPr="00F63DB6" w:rsidSect="00D9337A">
      <w:pgSz w:w="11906" w:h="16838"/>
      <w:pgMar w:top="851" w:right="851" w:bottom="567" w:left="851"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CC" w:rsidRDefault="002C3FCC" w:rsidP="00A60185">
      <w:r>
        <w:separator/>
      </w:r>
    </w:p>
  </w:endnote>
  <w:endnote w:type="continuationSeparator" w:id="0">
    <w:p w:rsidR="002C3FCC" w:rsidRDefault="002C3FCC"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rsidR="00100BEF" w:rsidRDefault="004E53AA">
        <w:pPr>
          <w:pStyle w:val="Footer"/>
          <w:jc w:val="center"/>
        </w:pPr>
        <w:r>
          <w:fldChar w:fldCharType="begin"/>
        </w:r>
        <w:r>
          <w:instrText xml:space="preserve"> PAGE   \* MERGEFORMAT </w:instrText>
        </w:r>
        <w:r>
          <w:fldChar w:fldCharType="separate"/>
        </w:r>
        <w:r w:rsidR="00A01AF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CC" w:rsidRDefault="002C3FCC" w:rsidP="00A60185">
      <w:r>
        <w:separator/>
      </w:r>
    </w:p>
  </w:footnote>
  <w:footnote w:type="continuationSeparator" w:id="0">
    <w:p w:rsidR="002C3FCC" w:rsidRDefault="002C3FCC" w:rsidP="00A60185">
      <w:r>
        <w:continuationSeparator/>
      </w:r>
    </w:p>
  </w:footnote>
  <w:footnote w:id="1">
    <w:p w:rsidR="00412CBA" w:rsidRPr="009301F6" w:rsidRDefault="00412CBA">
      <w:pPr>
        <w:pStyle w:val="FootnoteText"/>
        <w:rPr>
          <w:rFonts w:ascii="Times New Roman" w:hAnsi="Times New Roman"/>
        </w:rPr>
      </w:pPr>
      <w:r>
        <w:rPr>
          <w:rStyle w:val="FootnoteReference"/>
        </w:rPr>
        <w:footnoteRef/>
      </w:r>
      <w:r>
        <w:t xml:space="preserve"> </w:t>
      </w:r>
      <w:r w:rsidRPr="009301F6">
        <w:rPr>
          <w:rFonts w:ascii="Times New Roman" w:hAnsi="Times New Roman"/>
        </w:rPr>
        <w:t>Resistance to change is a well-established, largely inevitable, feature of human and organisational behaviour (see, for example</w:t>
      </w:r>
      <w:r w:rsidR="00CB72F1" w:rsidRPr="009301F6">
        <w:rPr>
          <w:rFonts w:ascii="Times New Roman" w:hAnsi="Times New Roman"/>
        </w:rPr>
        <w:t xml:space="preserve">, Haslam, S., R. </w:t>
      </w:r>
      <w:proofErr w:type="spellStart"/>
      <w:r w:rsidR="00CB72F1" w:rsidRPr="009301F6">
        <w:rPr>
          <w:rFonts w:ascii="Times New Roman" w:hAnsi="Times New Roman"/>
        </w:rPr>
        <w:t>Eggins</w:t>
      </w:r>
      <w:proofErr w:type="spellEnd"/>
      <w:r w:rsidR="00CB72F1" w:rsidRPr="009301F6">
        <w:rPr>
          <w:rFonts w:ascii="Times New Roman" w:hAnsi="Times New Roman"/>
        </w:rPr>
        <w:t xml:space="preserve">, and K. Reynolds (2003) ‘The </w:t>
      </w:r>
      <w:proofErr w:type="spellStart"/>
      <w:r w:rsidR="00CB72F1" w:rsidRPr="009301F6">
        <w:rPr>
          <w:rFonts w:ascii="Times New Roman" w:hAnsi="Times New Roman"/>
        </w:rPr>
        <w:t>ASPIRe</w:t>
      </w:r>
      <w:proofErr w:type="spellEnd"/>
      <w:r w:rsidR="00CB72F1" w:rsidRPr="009301F6">
        <w:rPr>
          <w:rFonts w:ascii="Times New Roman" w:hAnsi="Times New Roman"/>
        </w:rPr>
        <w:t xml:space="preserve"> model: Actualizing social and personal identity resources to enhance organizational outcomes’, </w:t>
      </w:r>
      <w:r w:rsidR="00CB72F1" w:rsidRPr="009301F6">
        <w:rPr>
          <w:rFonts w:ascii="Times New Roman" w:hAnsi="Times New Roman"/>
          <w:i/>
        </w:rPr>
        <w:t>Journal of Occupational and Organizational Psychology</w:t>
      </w:r>
      <w:r w:rsidR="00CB72F1" w:rsidRPr="009301F6">
        <w:rPr>
          <w:rFonts w:ascii="Times New Roman" w:hAnsi="Times New Roman"/>
        </w:rPr>
        <w:t xml:space="preserve">, vol. 76, pp. 83-113; </w:t>
      </w:r>
      <w:proofErr w:type="spellStart"/>
      <w:r w:rsidR="00CB72F1" w:rsidRPr="009301F6">
        <w:rPr>
          <w:rFonts w:ascii="Times New Roman" w:hAnsi="Times New Roman"/>
        </w:rPr>
        <w:t>Argyris</w:t>
      </w:r>
      <w:proofErr w:type="spellEnd"/>
      <w:r w:rsidR="00CB72F1" w:rsidRPr="009301F6">
        <w:rPr>
          <w:rFonts w:ascii="Times New Roman" w:hAnsi="Times New Roman"/>
        </w:rPr>
        <w:t xml:space="preserve">, C., (1991) ‘Teaching Smart People How to Learn’, </w:t>
      </w:r>
      <w:r w:rsidR="00CB72F1" w:rsidRPr="009301F6">
        <w:rPr>
          <w:rFonts w:ascii="Times New Roman" w:hAnsi="Times New Roman"/>
          <w:i/>
        </w:rPr>
        <w:t>Harvard Business Review</w:t>
      </w:r>
      <w:r w:rsidR="00CB72F1" w:rsidRPr="009301F6">
        <w:rPr>
          <w:rFonts w:ascii="Times New Roman" w:hAnsi="Times New Roman"/>
        </w:rPr>
        <w:t xml:space="preserve">, available at: </w:t>
      </w:r>
      <w:hyperlink r:id="rId1" w:history="1">
        <w:r w:rsidR="00CB72F1" w:rsidRPr="009301F6">
          <w:rPr>
            <w:rStyle w:val="Hyperlink"/>
            <w:rFonts w:ascii="Times New Roman" w:hAnsi="Times New Roman"/>
          </w:rPr>
          <w:t>https://hbr.org/1991/05/teaching-smart-people-how-to-learn</w:t>
        </w:r>
      </w:hyperlink>
      <w:r w:rsidR="00D9337A" w:rsidRPr="009301F6">
        <w:rPr>
          <w:rFonts w:ascii="Times New Roman" w:hAnsi="Times New Roman"/>
        </w:rPr>
        <w:t>.</w:t>
      </w:r>
      <w:r w:rsidR="007571C1" w:rsidRPr="009301F6">
        <w:rPr>
          <w:rFonts w:ascii="Times New Roman" w:hAnsi="Times New Roman"/>
        </w:rPr>
        <w:t>).</w:t>
      </w:r>
    </w:p>
  </w:footnote>
  <w:footnote w:id="2">
    <w:p w:rsidR="007571C1" w:rsidRPr="009301F6" w:rsidRDefault="007571C1">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D9337A" w:rsidRPr="009301F6">
        <w:rPr>
          <w:rFonts w:ascii="Times New Roman" w:hAnsi="Times New Roman"/>
        </w:rPr>
        <w:t xml:space="preserve">The classic work on this remains </w:t>
      </w:r>
      <w:proofErr w:type="spellStart"/>
      <w:r w:rsidR="00D9337A" w:rsidRPr="009301F6">
        <w:rPr>
          <w:rFonts w:ascii="Times New Roman" w:hAnsi="Times New Roman"/>
        </w:rPr>
        <w:t>Wildavsky</w:t>
      </w:r>
      <w:proofErr w:type="spellEnd"/>
      <w:r w:rsidR="00D9337A" w:rsidRPr="009301F6">
        <w:rPr>
          <w:rFonts w:ascii="Times New Roman" w:hAnsi="Times New Roman"/>
        </w:rPr>
        <w:t xml:space="preserve">, A., J. Pressman, </w:t>
      </w:r>
      <w:r w:rsidR="00D9337A" w:rsidRPr="009301F6">
        <w:rPr>
          <w:rFonts w:ascii="Times New Roman" w:hAnsi="Times New Roman"/>
          <w:i/>
          <w:iCs/>
        </w:rPr>
        <w:t>Implementation: How Great Expectations in Washington Are Dash</w:t>
      </w:r>
      <w:r w:rsidR="00D9337A" w:rsidRPr="009301F6">
        <w:rPr>
          <w:rFonts w:ascii="Times New Roman" w:hAnsi="Times New Roman"/>
          <w:i/>
          <w:iCs/>
        </w:rPr>
        <w:t>ed</w:t>
      </w:r>
      <w:r w:rsidR="00D9337A" w:rsidRPr="009301F6">
        <w:rPr>
          <w:rFonts w:ascii="Times New Roman" w:hAnsi="Times New Roman"/>
          <w:i/>
          <w:iCs/>
        </w:rPr>
        <w:t xml:space="preserve"> in Oakland; Or, Why It’s Amazing that Federal Programs Work at All, This Being a Saga of the Economic Development Administration as Told by Two Sympathetic Observers Who Seek to Build Morals on a Foundation of Ruined Hopes</w:t>
      </w:r>
      <w:r w:rsidR="00D9337A" w:rsidRPr="009301F6">
        <w:rPr>
          <w:rFonts w:ascii="Times New Roman" w:hAnsi="Times New Roman"/>
        </w:rPr>
        <w:t>, (California, University of California Press: 1973)</w:t>
      </w:r>
      <w:r w:rsidR="00D9337A" w:rsidRPr="009301F6">
        <w:rPr>
          <w:rFonts w:ascii="Times New Roman" w:hAnsi="Times New Roman"/>
        </w:rPr>
        <w:t xml:space="preserve">. The continued relevance of these ideas was demonstrated recently in </w:t>
      </w:r>
      <w:proofErr w:type="spellStart"/>
      <w:r w:rsidR="00D9337A" w:rsidRPr="009301F6">
        <w:rPr>
          <w:rFonts w:ascii="Times New Roman" w:hAnsi="Times New Roman"/>
        </w:rPr>
        <w:t>Allas</w:t>
      </w:r>
      <w:proofErr w:type="spellEnd"/>
      <w:r w:rsidR="00D9337A" w:rsidRPr="009301F6">
        <w:rPr>
          <w:rFonts w:ascii="Times New Roman" w:hAnsi="Times New Roman"/>
        </w:rPr>
        <w:t xml:space="preserve">, T., M. </w:t>
      </w:r>
      <w:proofErr w:type="spellStart"/>
      <w:r w:rsidR="00D9337A" w:rsidRPr="009301F6">
        <w:rPr>
          <w:rFonts w:ascii="Times New Roman" w:hAnsi="Times New Roman"/>
        </w:rPr>
        <w:t>Checinski</w:t>
      </w:r>
      <w:proofErr w:type="spellEnd"/>
      <w:r w:rsidR="00D9337A" w:rsidRPr="009301F6">
        <w:rPr>
          <w:rFonts w:ascii="Times New Roman" w:hAnsi="Times New Roman"/>
        </w:rPr>
        <w:t xml:space="preserve">, R. Dillon, R. Dobbs, S. </w:t>
      </w:r>
      <w:proofErr w:type="spellStart"/>
      <w:r w:rsidR="00D9337A" w:rsidRPr="009301F6">
        <w:rPr>
          <w:rFonts w:ascii="Times New Roman" w:hAnsi="Times New Roman"/>
        </w:rPr>
        <w:t>Hieronimus</w:t>
      </w:r>
      <w:proofErr w:type="spellEnd"/>
      <w:r w:rsidR="00D9337A" w:rsidRPr="009301F6">
        <w:rPr>
          <w:rFonts w:ascii="Times New Roman" w:hAnsi="Times New Roman"/>
        </w:rPr>
        <w:t xml:space="preserve">, N. Singh, </w:t>
      </w:r>
      <w:r w:rsidR="00D9337A" w:rsidRPr="009301F6">
        <w:rPr>
          <w:rFonts w:ascii="Times New Roman" w:hAnsi="Times New Roman"/>
          <w:i/>
          <w:iCs/>
        </w:rPr>
        <w:t>Delivering for citizens: How to triple the success rate of government transformations</w:t>
      </w:r>
      <w:r w:rsidR="00D9337A" w:rsidRPr="009301F6">
        <w:rPr>
          <w:rFonts w:ascii="Times New Roman" w:hAnsi="Times New Roman"/>
        </w:rPr>
        <w:t xml:space="preserve">, McKinsey and Company, 2018, available from: </w:t>
      </w:r>
      <w:hyperlink r:id="rId2" w:history="1">
        <w:r w:rsidR="00D9337A" w:rsidRPr="009301F6">
          <w:rPr>
            <w:rStyle w:val="Hyperlink"/>
            <w:rFonts w:ascii="Times New Roman" w:hAnsi="Times New Roman"/>
          </w:rPr>
          <w:t>https://www.mckinsey.com/industries/public-sector/our-insights/delivering-for-citizens-how-to-triple-the-success-rate-of-government-transformations</w:t>
        </w:r>
      </w:hyperlink>
      <w:r w:rsidR="00D9337A" w:rsidRPr="009301F6">
        <w:rPr>
          <w:rFonts w:ascii="Times New Roman" w:hAnsi="Times New Roman"/>
        </w:rPr>
        <w:t>.</w:t>
      </w:r>
    </w:p>
  </w:footnote>
  <w:footnote w:id="3">
    <w:p w:rsidR="007571C1" w:rsidRPr="009301F6" w:rsidRDefault="007571C1">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D9337A" w:rsidRPr="009301F6">
        <w:rPr>
          <w:rFonts w:ascii="Times New Roman" w:hAnsi="Times New Roman"/>
        </w:rPr>
        <w:t xml:space="preserve">Fraser, D., ‘Evaluation, Democracy and Social Justice’, a speech in </w:t>
      </w:r>
      <w:r w:rsidR="00D9337A" w:rsidRPr="009301F6">
        <w:rPr>
          <w:rFonts w:ascii="Times New Roman" w:hAnsi="Times New Roman"/>
          <w:i/>
        </w:rPr>
        <w:t>Canberra Evaluation Forum – Policy and Evaluation Series</w:t>
      </w:r>
      <w:r w:rsidR="00D9337A" w:rsidRPr="009301F6">
        <w:rPr>
          <w:rFonts w:ascii="Times New Roman" w:hAnsi="Times New Roman"/>
        </w:rPr>
        <w:t>, hosted by the Institute of Public Administration Australia, ACT Division, 8 September 2017.</w:t>
      </w:r>
    </w:p>
  </w:footnote>
  <w:footnote w:id="4">
    <w:p w:rsidR="007571C1" w:rsidRPr="009301F6" w:rsidRDefault="007571C1">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1D66CF" w:rsidRPr="009301F6">
        <w:rPr>
          <w:rFonts w:ascii="Times New Roman" w:hAnsi="Times New Roman"/>
        </w:rPr>
        <w:t xml:space="preserve">Smith, H., ‘Doing Policy Differently’, a speech in </w:t>
      </w:r>
      <w:r w:rsidR="001D66CF" w:rsidRPr="009301F6">
        <w:rPr>
          <w:rFonts w:ascii="Times New Roman" w:hAnsi="Times New Roman"/>
          <w:i/>
        </w:rPr>
        <w:t>Fit for the Future Series</w:t>
      </w:r>
      <w:r w:rsidR="001D66CF" w:rsidRPr="009301F6">
        <w:rPr>
          <w:rFonts w:ascii="Times New Roman" w:hAnsi="Times New Roman"/>
        </w:rPr>
        <w:t>, hosted by Institute of Public Administration Australia, ACT Division, 22 March 2017.</w:t>
      </w:r>
    </w:p>
  </w:footnote>
  <w:footnote w:id="5">
    <w:p w:rsidR="00A15BF2" w:rsidRPr="009301F6" w:rsidRDefault="00A15BF2" w:rsidP="00166973">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166973" w:rsidRPr="009301F6">
        <w:rPr>
          <w:rFonts w:ascii="Times New Roman" w:hAnsi="Times New Roman"/>
        </w:rPr>
        <w:t xml:space="preserve">See, for example: </w:t>
      </w:r>
      <w:proofErr w:type="spellStart"/>
      <w:r w:rsidR="00166973" w:rsidRPr="009301F6">
        <w:rPr>
          <w:rFonts w:ascii="Times New Roman" w:hAnsi="Times New Roman"/>
        </w:rPr>
        <w:t>Subasic</w:t>
      </w:r>
      <w:proofErr w:type="spellEnd"/>
      <w:r w:rsidR="00166973" w:rsidRPr="009301F6">
        <w:rPr>
          <w:rFonts w:ascii="Times New Roman" w:hAnsi="Times New Roman"/>
        </w:rPr>
        <w:t>, E., K. Reynolds, J. Turner (2008), ‘</w:t>
      </w:r>
      <w:proofErr w:type="gramStart"/>
      <w:r w:rsidR="00166973" w:rsidRPr="009301F6">
        <w:rPr>
          <w:rFonts w:ascii="Times New Roman" w:hAnsi="Times New Roman"/>
        </w:rPr>
        <w:t>The</w:t>
      </w:r>
      <w:proofErr w:type="gramEnd"/>
      <w:r w:rsidR="00166973" w:rsidRPr="009301F6">
        <w:rPr>
          <w:rFonts w:ascii="Times New Roman" w:hAnsi="Times New Roman"/>
        </w:rPr>
        <w:t xml:space="preserve"> political solidarity model of social change: Dynamics of self-categorisation in intergroup power relations’, </w:t>
      </w:r>
      <w:r w:rsidR="00166973" w:rsidRPr="009301F6">
        <w:rPr>
          <w:rFonts w:ascii="Times New Roman" w:hAnsi="Times New Roman"/>
          <w:i/>
        </w:rPr>
        <w:t>Personality and Psychology Review</w:t>
      </w:r>
      <w:r w:rsidR="00166973" w:rsidRPr="009301F6">
        <w:rPr>
          <w:rFonts w:ascii="Times New Roman" w:hAnsi="Times New Roman"/>
        </w:rPr>
        <w:t xml:space="preserve">, vol. 12 no. 4, pp: 330-352. </w:t>
      </w:r>
      <w:proofErr w:type="spellStart"/>
      <w:r w:rsidR="007E453C" w:rsidRPr="009301F6">
        <w:rPr>
          <w:rFonts w:ascii="Times New Roman" w:hAnsi="Times New Roman"/>
        </w:rPr>
        <w:t>Wildavsky</w:t>
      </w:r>
      <w:proofErr w:type="spellEnd"/>
      <w:r w:rsidR="007E453C" w:rsidRPr="009301F6">
        <w:rPr>
          <w:rFonts w:ascii="Times New Roman" w:hAnsi="Times New Roman"/>
        </w:rPr>
        <w:t xml:space="preserve"> and Pressman (1973) also provides a clear explanation of why even a small minority of key persons in seemingly minor roles can frustrate change very successfully, simply by withholding their consent.</w:t>
      </w:r>
    </w:p>
  </w:footnote>
  <w:footnote w:id="6">
    <w:p w:rsidR="00BD5055" w:rsidRPr="009301F6" w:rsidRDefault="00BD5055">
      <w:pPr>
        <w:pStyle w:val="FootnoteText"/>
        <w:rPr>
          <w:rFonts w:ascii="Times New Roman" w:hAnsi="Times New Roman"/>
        </w:rPr>
      </w:pPr>
      <w:r w:rsidRPr="009301F6">
        <w:rPr>
          <w:rStyle w:val="FootnoteReference"/>
          <w:rFonts w:ascii="Times New Roman" w:hAnsi="Times New Roman"/>
        </w:rPr>
        <w:footnoteRef/>
      </w:r>
      <w:r w:rsidR="002C07E4" w:rsidRPr="009301F6">
        <w:rPr>
          <w:rFonts w:ascii="Times New Roman" w:hAnsi="Times New Roman"/>
        </w:rPr>
        <w:t xml:space="preserve"> The concepts are well-understood in business and management literature.</w:t>
      </w:r>
      <w:r w:rsidR="005F77BB" w:rsidRPr="009301F6">
        <w:rPr>
          <w:rFonts w:ascii="Times New Roman" w:hAnsi="Times New Roman"/>
        </w:rPr>
        <w:t xml:space="preserve"> </w:t>
      </w:r>
      <w:r w:rsidR="002C07E4" w:rsidRPr="009301F6">
        <w:rPr>
          <w:rFonts w:ascii="Times New Roman" w:hAnsi="Times New Roman"/>
        </w:rPr>
        <w:t>For a supporting research base in</w:t>
      </w:r>
      <w:r w:rsidR="00F80419" w:rsidRPr="009301F6">
        <w:rPr>
          <w:rFonts w:ascii="Times New Roman" w:hAnsi="Times New Roman"/>
        </w:rPr>
        <w:t xml:space="preserve"> academic group and</w:t>
      </w:r>
      <w:r w:rsidR="002C07E4" w:rsidRPr="009301F6">
        <w:rPr>
          <w:rFonts w:ascii="Times New Roman" w:hAnsi="Times New Roman"/>
        </w:rPr>
        <w:t xml:space="preserve"> organisational psychology, see (among many others):</w:t>
      </w:r>
      <w:r w:rsidR="00F80419" w:rsidRPr="009301F6">
        <w:rPr>
          <w:rFonts w:ascii="Times New Roman" w:hAnsi="Times New Roman"/>
        </w:rPr>
        <w:t xml:space="preserve"> </w:t>
      </w:r>
      <w:proofErr w:type="spellStart"/>
      <w:r w:rsidR="00F80419" w:rsidRPr="009301F6">
        <w:rPr>
          <w:rFonts w:ascii="Times New Roman" w:hAnsi="Times New Roman"/>
        </w:rPr>
        <w:t>Hais</w:t>
      </w:r>
      <w:proofErr w:type="spellEnd"/>
      <w:r w:rsidR="00F80419" w:rsidRPr="009301F6">
        <w:rPr>
          <w:rFonts w:ascii="Times New Roman" w:hAnsi="Times New Roman"/>
        </w:rPr>
        <w:t xml:space="preserve">, S., M. Hogg, J. Duck, (1997), ‘Self-categorization and Leadership: Effects of Group </w:t>
      </w:r>
      <w:proofErr w:type="spellStart"/>
      <w:r w:rsidR="00F80419" w:rsidRPr="009301F6">
        <w:rPr>
          <w:rFonts w:ascii="Times New Roman" w:hAnsi="Times New Roman"/>
        </w:rPr>
        <w:t>Prototypicality</w:t>
      </w:r>
      <w:proofErr w:type="spellEnd"/>
      <w:r w:rsidR="00F80419" w:rsidRPr="009301F6">
        <w:rPr>
          <w:rFonts w:ascii="Times New Roman" w:hAnsi="Times New Roman"/>
        </w:rPr>
        <w:t xml:space="preserve"> and Leader </w:t>
      </w:r>
      <w:proofErr w:type="spellStart"/>
      <w:r w:rsidR="00F80419" w:rsidRPr="009301F6">
        <w:rPr>
          <w:rFonts w:ascii="Times New Roman" w:hAnsi="Times New Roman"/>
        </w:rPr>
        <w:t>Stereotypicality</w:t>
      </w:r>
      <w:proofErr w:type="spellEnd"/>
      <w:r w:rsidR="00F80419" w:rsidRPr="009301F6">
        <w:rPr>
          <w:rFonts w:ascii="Times New Roman" w:hAnsi="Times New Roman"/>
        </w:rPr>
        <w:t xml:space="preserve">’, </w:t>
      </w:r>
      <w:r w:rsidR="00F80419" w:rsidRPr="009301F6">
        <w:rPr>
          <w:rFonts w:ascii="Times New Roman" w:hAnsi="Times New Roman"/>
          <w:i/>
        </w:rPr>
        <w:t>Personality and Social Psychology Bulletin</w:t>
      </w:r>
      <w:r w:rsidR="00F80419" w:rsidRPr="009301F6">
        <w:rPr>
          <w:rFonts w:ascii="Times New Roman" w:hAnsi="Times New Roman"/>
        </w:rPr>
        <w:t>, vol. 23, no. 10, pp: 1087-1099.</w:t>
      </w:r>
      <w:r w:rsidR="002C07E4" w:rsidRPr="009301F6">
        <w:rPr>
          <w:rFonts w:ascii="Times New Roman" w:hAnsi="Times New Roman"/>
        </w:rPr>
        <w:t xml:space="preserve"> </w:t>
      </w:r>
    </w:p>
  </w:footnote>
  <w:footnote w:id="7">
    <w:p w:rsidR="00BD5055" w:rsidRPr="009301F6" w:rsidRDefault="00BD5055">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716CF3" w:rsidRPr="009301F6">
        <w:rPr>
          <w:rFonts w:ascii="Times New Roman" w:hAnsi="Times New Roman"/>
          <w:i/>
        </w:rPr>
        <w:t>Ibid</w:t>
      </w:r>
      <w:r w:rsidR="00716CF3" w:rsidRPr="009301F6">
        <w:rPr>
          <w:rFonts w:ascii="Times New Roman" w:hAnsi="Times New Roman"/>
        </w:rPr>
        <w:t>.</w:t>
      </w:r>
    </w:p>
  </w:footnote>
  <w:footnote w:id="8">
    <w:p w:rsidR="00716CF3" w:rsidRPr="009301F6" w:rsidRDefault="00716CF3">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H. Appleby K.C.M.G. (</w:t>
      </w:r>
      <w:r w:rsidR="00903FDD" w:rsidRPr="009301F6">
        <w:rPr>
          <w:rFonts w:ascii="Times New Roman" w:hAnsi="Times New Roman"/>
        </w:rPr>
        <w:t>1980).</w:t>
      </w:r>
    </w:p>
  </w:footnote>
  <w:footnote w:id="9">
    <w:p w:rsidR="00716CF3" w:rsidRPr="009301F6" w:rsidRDefault="00716CF3" w:rsidP="00716CF3">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D. </w:t>
      </w:r>
      <w:proofErr w:type="spellStart"/>
      <w:r w:rsidRPr="009301F6">
        <w:rPr>
          <w:rFonts w:ascii="Times New Roman" w:hAnsi="Times New Roman"/>
        </w:rPr>
        <w:t>Umbridge</w:t>
      </w:r>
      <w:proofErr w:type="spellEnd"/>
      <w:r w:rsidRPr="009301F6">
        <w:rPr>
          <w:rFonts w:ascii="Times New Roman" w:hAnsi="Times New Roman"/>
        </w:rPr>
        <w:t xml:space="preserve"> (1995) quoted in J. Rowling (2004), p.192.</w:t>
      </w:r>
    </w:p>
  </w:footnote>
  <w:footnote w:id="10">
    <w:p w:rsidR="004A4734" w:rsidRPr="009301F6" w:rsidRDefault="004A4734">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C5443B" w:rsidRPr="009301F6">
        <w:rPr>
          <w:rFonts w:ascii="Times New Roman" w:hAnsi="Times New Roman"/>
        </w:rPr>
        <w:t>Reading the submissions, the pain</w:t>
      </w:r>
      <w:r w:rsidR="009301F6" w:rsidRPr="009301F6">
        <w:rPr>
          <w:rFonts w:ascii="Times New Roman" w:hAnsi="Times New Roman"/>
        </w:rPr>
        <w:t xml:space="preserve"> staff</w:t>
      </w:r>
      <w:r w:rsidR="00C5443B" w:rsidRPr="009301F6">
        <w:rPr>
          <w:rFonts w:ascii="Times New Roman" w:hAnsi="Times New Roman"/>
        </w:rPr>
        <w:t xml:space="preserve"> expressed at feeling </w:t>
      </w:r>
      <w:r w:rsidR="009301F6" w:rsidRPr="009301F6">
        <w:rPr>
          <w:rFonts w:ascii="Times New Roman" w:hAnsi="Times New Roman"/>
        </w:rPr>
        <w:t>unable</w:t>
      </w:r>
      <w:r w:rsidR="00C5443B" w:rsidRPr="009301F6">
        <w:rPr>
          <w:rFonts w:ascii="Times New Roman" w:hAnsi="Times New Roman"/>
        </w:rPr>
        <w:t xml:space="preserve"> </w:t>
      </w:r>
      <w:r w:rsidR="009301F6" w:rsidRPr="009301F6">
        <w:rPr>
          <w:rFonts w:ascii="Times New Roman" w:hAnsi="Times New Roman"/>
        </w:rPr>
        <w:t xml:space="preserve">to </w:t>
      </w:r>
      <w:r w:rsidR="00C5443B" w:rsidRPr="009301F6">
        <w:rPr>
          <w:rFonts w:ascii="Times New Roman" w:hAnsi="Times New Roman"/>
        </w:rPr>
        <w:t>do</w:t>
      </w:r>
      <w:r w:rsidR="009301F6" w:rsidRPr="009301F6">
        <w:rPr>
          <w:rFonts w:ascii="Times New Roman" w:hAnsi="Times New Roman"/>
        </w:rPr>
        <w:t xml:space="preserve"> their jobs due to</w:t>
      </w:r>
      <w:r w:rsidR="00C5443B" w:rsidRPr="009301F6">
        <w:rPr>
          <w:rFonts w:ascii="Times New Roman" w:hAnsi="Times New Roman"/>
        </w:rPr>
        <w:t xml:space="preserve"> poorly-written policies, broken systems, and political interference was heart-breaking.</w:t>
      </w:r>
      <w:r w:rsidR="00903FDD" w:rsidRPr="009301F6">
        <w:rPr>
          <w:rFonts w:ascii="Times New Roman" w:hAnsi="Times New Roman"/>
        </w:rPr>
        <w:t xml:space="preserve"> That far too many staff perceive the</w:t>
      </w:r>
      <w:r w:rsidR="009301F6" w:rsidRPr="009301F6">
        <w:rPr>
          <w:rFonts w:ascii="Times New Roman" w:hAnsi="Times New Roman"/>
        </w:rPr>
        <w:t>ir</w:t>
      </w:r>
      <w:r w:rsidR="00903FDD" w:rsidRPr="009301F6">
        <w:rPr>
          <w:rFonts w:ascii="Times New Roman" w:hAnsi="Times New Roman"/>
        </w:rPr>
        <w:t xml:space="preserve"> work has become more politicised, even within the span of remarkably few years, is now well and truly beyond dispute.</w:t>
      </w:r>
    </w:p>
  </w:footnote>
  <w:footnote w:id="11">
    <w:p w:rsidR="00C5443B" w:rsidRPr="009301F6" w:rsidRDefault="00C5443B">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All the problems noted in</w:t>
      </w:r>
      <w:r w:rsidR="009301F6" w:rsidRPr="009301F6">
        <w:rPr>
          <w:rFonts w:ascii="Times New Roman" w:hAnsi="Times New Roman"/>
        </w:rPr>
        <w:t xml:space="preserve"> </w:t>
      </w:r>
      <w:proofErr w:type="spellStart"/>
      <w:r w:rsidR="009301F6" w:rsidRPr="009301F6">
        <w:rPr>
          <w:rFonts w:ascii="Times New Roman" w:hAnsi="Times New Roman"/>
        </w:rPr>
        <w:t>Prof.</w:t>
      </w:r>
      <w:proofErr w:type="spellEnd"/>
      <w:r w:rsidR="009301F6" w:rsidRPr="009301F6">
        <w:rPr>
          <w:rFonts w:ascii="Times New Roman" w:hAnsi="Times New Roman"/>
        </w:rPr>
        <w:t xml:space="preserve"> Philip Alston’s special report to the United Nations on poverty in the United Kingdom</w:t>
      </w:r>
      <w:r w:rsidRPr="009301F6">
        <w:rPr>
          <w:rFonts w:ascii="Times New Roman" w:hAnsi="Times New Roman"/>
        </w:rPr>
        <w:t xml:space="preserve"> have </w:t>
      </w:r>
      <w:r w:rsidR="00903FDD" w:rsidRPr="009301F6">
        <w:rPr>
          <w:rFonts w:ascii="Times New Roman" w:hAnsi="Times New Roman"/>
        </w:rPr>
        <w:t>e</w:t>
      </w:r>
      <w:r w:rsidRPr="009301F6">
        <w:rPr>
          <w:rFonts w:ascii="Times New Roman" w:hAnsi="Times New Roman"/>
        </w:rPr>
        <w:t>choes across Australian public policy, be it in social welfare, health, the environment, etc., and the ensuing disheartenment for staff is entirely predictable, as are its effects on productivity, innovation, and risk-taking.</w:t>
      </w:r>
      <w:r w:rsidR="009301F6" w:rsidRPr="009301F6">
        <w:rPr>
          <w:rFonts w:ascii="Times New Roman" w:hAnsi="Times New Roman"/>
        </w:rPr>
        <w:t xml:space="preserve"> See: Alston, P., (2018) </w:t>
      </w:r>
      <w:r w:rsidR="009301F6" w:rsidRPr="009301F6">
        <w:rPr>
          <w:rFonts w:ascii="Times New Roman" w:hAnsi="Times New Roman"/>
          <w:i/>
        </w:rPr>
        <w:t>Statement on Visit to the United Kingdom, by Professor Philip Alston, United Nations Special Rapporteur on Extreme Poverty and Human Rights</w:t>
      </w:r>
      <w:r w:rsidR="009301F6" w:rsidRPr="009301F6">
        <w:rPr>
          <w:rFonts w:ascii="Times New Roman" w:hAnsi="Times New Roman"/>
        </w:rPr>
        <w:t xml:space="preserve">, available from: </w:t>
      </w:r>
      <w:hyperlink r:id="rId3" w:history="1">
        <w:r w:rsidR="009301F6" w:rsidRPr="009301F6">
          <w:rPr>
            <w:rStyle w:val="Hyperlink"/>
            <w:rFonts w:ascii="Times New Roman" w:hAnsi="Times New Roman"/>
          </w:rPr>
          <w:t>https://www.ohchr.org/documents/issues/poverty/eom_gb_16nov2018.pdf</w:t>
        </w:r>
      </w:hyperlink>
      <w:r w:rsidR="009301F6" w:rsidRPr="009301F6">
        <w:rPr>
          <w:rFonts w:ascii="Times New Roman" w:hAnsi="Times New Roman"/>
        </w:rPr>
        <w:t xml:space="preserve">. </w:t>
      </w:r>
    </w:p>
  </w:footnote>
  <w:footnote w:id="12">
    <w:p w:rsidR="008177B0" w:rsidRPr="00254644" w:rsidRDefault="008177B0">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254644">
        <w:rPr>
          <w:rFonts w:ascii="Times New Roman" w:hAnsi="Times New Roman"/>
        </w:rPr>
        <w:t xml:space="preserve">For example, see: </w:t>
      </w:r>
      <w:proofErr w:type="spellStart"/>
      <w:r w:rsidR="00254644">
        <w:rPr>
          <w:rFonts w:ascii="Times New Roman" w:hAnsi="Times New Roman"/>
        </w:rPr>
        <w:t>Towell</w:t>
      </w:r>
      <w:proofErr w:type="spellEnd"/>
      <w:r w:rsidR="00254644">
        <w:rPr>
          <w:rFonts w:ascii="Times New Roman" w:hAnsi="Times New Roman"/>
        </w:rPr>
        <w:t xml:space="preserve">, N., ‘Top bureaucrats acting out of self-interest in relation to FOI’, </w:t>
      </w:r>
      <w:r w:rsidR="00254644" w:rsidRPr="00254644">
        <w:rPr>
          <w:rFonts w:ascii="Times New Roman" w:hAnsi="Times New Roman"/>
          <w:i/>
        </w:rPr>
        <w:t>The</w:t>
      </w:r>
      <w:r w:rsidR="00254644">
        <w:rPr>
          <w:rFonts w:ascii="Times New Roman" w:hAnsi="Times New Roman"/>
        </w:rPr>
        <w:t xml:space="preserve"> </w:t>
      </w:r>
      <w:r w:rsidR="00254644">
        <w:rPr>
          <w:rFonts w:ascii="Times New Roman" w:hAnsi="Times New Roman"/>
          <w:i/>
        </w:rPr>
        <w:t>Canberra Times</w:t>
      </w:r>
      <w:r w:rsidR="00254644">
        <w:rPr>
          <w:rFonts w:ascii="Times New Roman" w:hAnsi="Times New Roman"/>
        </w:rPr>
        <w:t>, 15 </w:t>
      </w:r>
      <w:r w:rsidR="00254644" w:rsidRPr="00254644">
        <w:rPr>
          <w:rFonts w:ascii="Times New Roman" w:hAnsi="Times New Roman"/>
        </w:rPr>
        <w:t>April 2016.</w:t>
      </w:r>
    </w:p>
  </w:footnote>
  <w:footnote w:id="13">
    <w:p w:rsidR="00254644" w:rsidRPr="00254644" w:rsidRDefault="00254644">
      <w:pPr>
        <w:pStyle w:val="FootnoteText"/>
        <w:rPr>
          <w:rFonts w:ascii="Times New Roman" w:hAnsi="Times New Roman"/>
        </w:rPr>
      </w:pPr>
      <w:r w:rsidRPr="00254644">
        <w:rPr>
          <w:rStyle w:val="FootnoteReference"/>
          <w:rFonts w:ascii="Times New Roman" w:hAnsi="Times New Roman"/>
        </w:rPr>
        <w:footnoteRef/>
      </w:r>
      <w:r w:rsidRPr="00254644">
        <w:rPr>
          <w:rFonts w:ascii="Times New Roman" w:hAnsi="Times New Roman"/>
        </w:rPr>
        <w:t xml:space="preserve"> </w:t>
      </w:r>
      <w:proofErr w:type="spellStart"/>
      <w:r w:rsidRPr="00254644">
        <w:rPr>
          <w:rFonts w:ascii="Times New Roman" w:hAnsi="Times New Roman"/>
        </w:rPr>
        <w:t>Shergold</w:t>
      </w:r>
      <w:proofErr w:type="spellEnd"/>
      <w:r w:rsidRPr="00254644">
        <w:rPr>
          <w:rFonts w:ascii="Times New Roman" w:hAnsi="Times New Roman"/>
        </w:rPr>
        <w:t xml:space="preserve">, P., </w:t>
      </w:r>
      <w:r w:rsidRPr="00254644">
        <w:rPr>
          <w:rFonts w:ascii="Times New Roman" w:hAnsi="Times New Roman"/>
          <w:i/>
        </w:rPr>
        <w:t>Learning from Failure: Why Large Government Policy Initiatives Have Gone so Badly Wrong in the Past and How the Chances of Success in the Future Can Be Improved</w:t>
      </w:r>
      <w:r w:rsidRPr="00254644">
        <w:rPr>
          <w:rFonts w:ascii="Times New Roman" w:hAnsi="Times New Roman"/>
        </w:rPr>
        <w:t>, (Canberra, Commonwealth of Australia: 2015).</w:t>
      </w:r>
    </w:p>
  </w:footnote>
  <w:footnote w:id="14">
    <w:p w:rsidR="00BA190F" w:rsidRPr="00E27879" w:rsidRDefault="00BA190F">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r w:rsidR="00E27879">
        <w:rPr>
          <w:rFonts w:ascii="Times New Roman" w:hAnsi="Times New Roman"/>
        </w:rPr>
        <w:t xml:space="preserve">Bray, J., M. </w:t>
      </w:r>
      <w:proofErr w:type="spellStart"/>
      <w:r w:rsidR="00E27879">
        <w:rPr>
          <w:rFonts w:ascii="Times New Roman" w:hAnsi="Times New Roman"/>
        </w:rPr>
        <w:t>Gray</w:t>
      </w:r>
      <w:proofErr w:type="spellEnd"/>
      <w:r w:rsidR="00E27879">
        <w:rPr>
          <w:rFonts w:ascii="Times New Roman" w:hAnsi="Times New Roman"/>
        </w:rPr>
        <w:t xml:space="preserve">, and P. </w:t>
      </w:r>
      <w:proofErr w:type="spellStart"/>
      <w:r w:rsidR="00E27879">
        <w:rPr>
          <w:rFonts w:ascii="Times New Roman" w:hAnsi="Times New Roman"/>
        </w:rPr>
        <w:t>t’Hart</w:t>
      </w:r>
      <w:proofErr w:type="spellEnd"/>
      <w:r w:rsidR="00E27879">
        <w:rPr>
          <w:rFonts w:ascii="Times New Roman" w:hAnsi="Times New Roman"/>
        </w:rPr>
        <w:t xml:space="preserve">, </w:t>
      </w:r>
      <w:r w:rsidR="00E27879">
        <w:rPr>
          <w:rFonts w:ascii="Times New Roman" w:hAnsi="Times New Roman"/>
          <w:i/>
        </w:rPr>
        <w:t>Evaluation and Learning from Failure and Success</w:t>
      </w:r>
      <w:r w:rsidR="00E27879">
        <w:rPr>
          <w:rFonts w:ascii="Times New Roman" w:hAnsi="Times New Roman"/>
        </w:rPr>
        <w:t>, (Canberra, Australia New Zealand School of Government: 2019).</w:t>
      </w:r>
    </w:p>
  </w:footnote>
  <w:footnote w:id="15">
    <w:p w:rsidR="00BA190F" w:rsidRPr="009301F6" w:rsidRDefault="00BA190F">
      <w:pPr>
        <w:pStyle w:val="FootnoteText"/>
        <w:rPr>
          <w:rFonts w:ascii="Times New Roman" w:hAnsi="Times New Roman"/>
        </w:rPr>
      </w:pPr>
      <w:r w:rsidRPr="009301F6">
        <w:rPr>
          <w:rStyle w:val="FootnoteReference"/>
          <w:rFonts w:ascii="Times New Roman" w:hAnsi="Times New Roman"/>
        </w:rPr>
        <w:footnoteRef/>
      </w:r>
      <w:r w:rsidRPr="009301F6">
        <w:rPr>
          <w:rFonts w:ascii="Times New Roman" w:hAnsi="Times New Roman"/>
        </w:rPr>
        <w:t xml:space="preserve"> </w:t>
      </w:r>
      <w:proofErr w:type="spellStart"/>
      <w:r w:rsidR="003B625F">
        <w:rPr>
          <w:rFonts w:ascii="Times New Roman" w:hAnsi="Times New Roman"/>
        </w:rPr>
        <w:t>Wildavsky</w:t>
      </w:r>
      <w:proofErr w:type="spellEnd"/>
      <w:r w:rsidR="003B625F">
        <w:rPr>
          <w:rFonts w:ascii="Times New Roman" w:hAnsi="Times New Roman"/>
        </w:rPr>
        <w:t xml:space="preserve">, A., </w:t>
      </w:r>
      <w:r w:rsidR="003B625F">
        <w:rPr>
          <w:rFonts w:ascii="Times New Roman" w:hAnsi="Times New Roman"/>
          <w:i/>
        </w:rPr>
        <w:t>Speaking Truth to Power: The Art and Craft of Policy Analysis</w:t>
      </w:r>
      <w:r w:rsidR="003B625F">
        <w:rPr>
          <w:rFonts w:ascii="Times New Roman" w:hAnsi="Times New Roman"/>
        </w:rPr>
        <w:t>, (New Brunswick, Transaction Publishers: 1987)</w:t>
      </w:r>
      <w:r w:rsidR="00E27879">
        <w:rPr>
          <w:rFonts w:ascii="Times New Roman" w:hAnsi="Times New Roman"/>
        </w:rPr>
        <w:t xml:space="preserve">. </w:t>
      </w:r>
      <w:r w:rsidR="003B625F">
        <w:rPr>
          <w:rFonts w:ascii="Times New Roman" w:hAnsi="Times New Roman"/>
        </w:rPr>
        <w:t>That analysis also aligns with</w:t>
      </w:r>
      <w:r w:rsidRPr="009301F6">
        <w:rPr>
          <w:rFonts w:ascii="Times New Roman" w:hAnsi="Times New Roman"/>
        </w:rPr>
        <w:t xml:space="preserve"> the ideas expressed by former Secretary Blair </w:t>
      </w:r>
      <w:proofErr w:type="spellStart"/>
      <w:r w:rsidRPr="009301F6">
        <w:rPr>
          <w:rFonts w:ascii="Times New Roman" w:hAnsi="Times New Roman"/>
        </w:rPr>
        <w:t>Comley</w:t>
      </w:r>
      <w:proofErr w:type="spellEnd"/>
      <w:r w:rsidRPr="009301F6">
        <w:rPr>
          <w:rFonts w:ascii="Times New Roman" w:hAnsi="Times New Roman"/>
        </w:rPr>
        <w:t xml:space="preserve"> </w:t>
      </w:r>
      <w:r w:rsidR="003B625F">
        <w:rPr>
          <w:rFonts w:ascii="Times New Roman" w:hAnsi="Times New Roman"/>
        </w:rPr>
        <w:t>(</w:t>
      </w:r>
      <w:proofErr w:type="spellStart"/>
      <w:r w:rsidR="003B625F">
        <w:rPr>
          <w:rFonts w:ascii="Times New Roman" w:hAnsi="Times New Roman"/>
        </w:rPr>
        <w:t>Comley</w:t>
      </w:r>
      <w:proofErr w:type="spellEnd"/>
      <w:r w:rsidR="003B625F">
        <w:rPr>
          <w:rFonts w:ascii="Times New Roman" w:hAnsi="Times New Roman"/>
        </w:rPr>
        <w:t xml:space="preserve">, B., </w:t>
      </w:r>
      <w:r w:rsidR="003B625F" w:rsidRPr="009301F6">
        <w:rPr>
          <w:rFonts w:ascii="Times New Roman" w:hAnsi="Times New Roman"/>
        </w:rPr>
        <w:t>‘Doing Policy Differently</w:t>
      </w:r>
      <w:r w:rsidR="003B625F">
        <w:rPr>
          <w:rFonts w:ascii="Times New Roman" w:hAnsi="Times New Roman"/>
        </w:rPr>
        <w:t>: Panel Discussion</w:t>
      </w:r>
      <w:r w:rsidR="003B625F" w:rsidRPr="009301F6">
        <w:rPr>
          <w:rFonts w:ascii="Times New Roman" w:hAnsi="Times New Roman"/>
        </w:rPr>
        <w:t xml:space="preserve">’, a </w:t>
      </w:r>
      <w:r w:rsidR="003B625F">
        <w:rPr>
          <w:rFonts w:ascii="Times New Roman" w:hAnsi="Times New Roman"/>
        </w:rPr>
        <w:t>presentation</w:t>
      </w:r>
      <w:r w:rsidR="003B625F" w:rsidRPr="009301F6">
        <w:rPr>
          <w:rFonts w:ascii="Times New Roman" w:hAnsi="Times New Roman"/>
        </w:rPr>
        <w:t xml:space="preserve"> in </w:t>
      </w:r>
      <w:r w:rsidR="003B625F" w:rsidRPr="009301F6">
        <w:rPr>
          <w:rFonts w:ascii="Times New Roman" w:hAnsi="Times New Roman"/>
          <w:i/>
        </w:rPr>
        <w:t>Fit for the Future Series</w:t>
      </w:r>
      <w:r w:rsidR="003B625F" w:rsidRPr="009301F6">
        <w:rPr>
          <w:rFonts w:ascii="Times New Roman" w:hAnsi="Times New Roman"/>
        </w:rPr>
        <w:t>, hosted by Institute of Public Administration Australia, ACT Division, 22 March 2017</w:t>
      </w:r>
      <w:r w:rsidR="003B625F">
        <w:rPr>
          <w:rFonts w:ascii="Times New Roman" w:hAnsi="Times New Roman"/>
        </w:rPr>
        <w:t>)</w:t>
      </w:r>
      <w:r w:rsidRPr="009301F6">
        <w:rPr>
          <w:rFonts w:ascii="Times New Roman" w:hAnsi="Times New Roman"/>
        </w:rPr>
        <w:t xml:space="preserve"> that diversity needs to include not just people who look different, but people who think differently, and offer potentially unpopular opinions. The value of inconvenient and uncomfortable critiques in promoting far more effective policy and programs is confirmed in</w:t>
      </w:r>
      <w:r w:rsidR="00002890">
        <w:rPr>
          <w:rFonts w:ascii="Times New Roman" w:hAnsi="Times New Roman"/>
        </w:rPr>
        <w:t xml:space="preserve"> </w:t>
      </w:r>
      <w:r w:rsidR="005279E5">
        <w:rPr>
          <w:rFonts w:ascii="Times New Roman" w:hAnsi="Times New Roman"/>
        </w:rPr>
        <w:t>recent research by Google as part of its ‘Project: Aristotle’</w:t>
      </w:r>
      <w:r w:rsidRPr="009301F6">
        <w:rPr>
          <w:rFonts w:ascii="Times New Roman" w:hAnsi="Times New Roman"/>
        </w:rPr>
        <w:t>, which also reiterates that the only way to enable such critiques is to permission and encourage uncomfortable discussions</w:t>
      </w:r>
      <w:r w:rsidR="00002890">
        <w:rPr>
          <w:rFonts w:ascii="Times New Roman" w:hAnsi="Times New Roman"/>
        </w:rPr>
        <w:t xml:space="preserve"> (</w:t>
      </w:r>
      <w:r w:rsidR="005279E5">
        <w:rPr>
          <w:rFonts w:ascii="Times New Roman" w:hAnsi="Times New Roman"/>
        </w:rPr>
        <w:t xml:space="preserve">Google Inc., ‘Project Aristotle: What Makes an Effective Team?’, </w:t>
      </w:r>
      <w:proofErr w:type="spellStart"/>
      <w:r w:rsidR="005279E5">
        <w:rPr>
          <w:rFonts w:ascii="Times New Roman" w:hAnsi="Times New Roman"/>
          <w:i/>
        </w:rPr>
        <w:t>re:Work</w:t>
      </w:r>
      <w:proofErr w:type="spellEnd"/>
      <w:r w:rsidR="005279E5">
        <w:rPr>
          <w:rFonts w:ascii="Times New Roman" w:hAnsi="Times New Roman"/>
        </w:rPr>
        <w:t xml:space="preserve">, available from </w:t>
      </w:r>
      <w:hyperlink r:id="rId4" w:history="1">
        <w:r w:rsidR="005279E5" w:rsidRPr="00863D84">
          <w:rPr>
            <w:rStyle w:val="Hyperlink"/>
            <w:rFonts w:ascii="Times New Roman" w:hAnsi="Times New Roman"/>
          </w:rPr>
          <w:t>https://rework.withgoogle.com/print/guides/5721312655835136/</w:t>
        </w:r>
      </w:hyperlink>
      <w:r w:rsidR="005279E5">
        <w:rPr>
          <w:rFonts w:ascii="Times New Roman" w:hAnsi="Times New Roman"/>
        </w:rPr>
        <w:t>, accessed 15 April 2019</w:t>
      </w:r>
      <w:r w:rsidR="00002890">
        <w:rPr>
          <w:rFonts w:ascii="Times New Roman" w:hAnsi="Times New Roman"/>
        </w:rPr>
        <w:t>)</w:t>
      </w:r>
      <w:r w:rsidRPr="009301F6">
        <w:rPr>
          <w:rFonts w:ascii="Times New Roman" w:hAnsi="Times New Roman"/>
        </w:rPr>
        <w:t xml:space="preserve">. My previous submission </w:t>
      </w:r>
      <w:r w:rsidR="005279E5">
        <w:rPr>
          <w:rFonts w:ascii="Times New Roman" w:hAnsi="Times New Roman"/>
        </w:rPr>
        <w:t>also discussed</w:t>
      </w:r>
      <w:r w:rsidRPr="009301F6">
        <w:rPr>
          <w:rFonts w:ascii="Times New Roman" w:hAnsi="Times New Roman"/>
        </w:rPr>
        <w:t xml:space="preserve"> at length why, for all its talk of being pro-innovation and allowing staff to fail, the APS is yet to actually empower staff </w:t>
      </w:r>
      <w:r w:rsidR="005279E5">
        <w:rPr>
          <w:rFonts w:ascii="Times New Roman" w:hAnsi="Times New Roman"/>
        </w:rPr>
        <w:t>to innovative or risk-take</w:t>
      </w:r>
      <w:r w:rsidRPr="009301F6">
        <w:rPr>
          <w:rFonts w:ascii="Times New Roman" w:hAnsi="Times New Roman"/>
        </w:rPr>
        <w:t>.</w:t>
      </w:r>
    </w:p>
  </w:footnote>
  <w:footnote w:id="16">
    <w:p w:rsidR="00F63DB6" w:rsidRPr="00742B7F" w:rsidRDefault="00F63DB6" w:rsidP="00F63DB6">
      <w:pPr>
        <w:pStyle w:val="FootnoteText"/>
        <w:rPr>
          <w:rFonts w:ascii="Times New Roman" w:hAnsi="Times New Roman"/>
        </w:rPr>
      </w:pPr>
      <w:r>
        <w:rPr>
          <w:rStyle w:val="FootnoteReference"/>
        </w:rPr>
        <w:footnoteRef/>
      </w:r>
      <w:r>
        <w:t xml:space="preserve"> </w:t>
      </w:r>
      <w:proofErr w:type="spellStart"/>
      <w:r w:rsidRPr="00742B7F">
        <w:rPr>
          <w:rFonts w:ascii="Times New Roman" w:hAnsi="Times New Roman"/>
        </w:rPr>
        <w:t>Allas</w:t>
      </w:r>
      <w:proofErr w:type="spellEnd"/>
      <w:r w:rsidRPr="00742B7F">
        <w:rPr>
          <w:rFonts w:ascii="Times New Roman" w:hAnsi="Times New Roman"/>
        </w:rPr>
        <w:t xml:space="preserve">, T., M. </w:t>
      </w:r>
      <w:proofErr w:type="spellStart"/>
      <w:r w:rsidRPr="00742B7F">
        <w:rPr>
          <w:rFonts w:ascii="Times New Roman" w:hAnsi="Times New Roman"/>
        </w:rPr>
        <w:t>Checinski</w:t>
      </w:r>
      <w:proofErr w:type="spellEnd"/>
      <w:r w:rsidRPr="00742B7F">
        <w:rPr>
          <w:rFonts w:ascii="Times New Roman" w:hAnsi="Times New Roman"/>
        </w:rPr>
        <w:t xml:space="preserve">, R. Dillon, R. Dobbs, S. </w:t>
      </w:r>
      <w:proofErr w:type="spellStart"/>
      <w:r w:rsidRPr="00742B7F">
        <w:rPr>
          <w:rFonts w:ascii="Times New Roman" w:hAnsi="Times New Roman"/>
        </w:rPr>
        <w:t>Hieronimus</w:t>
      </w:r>
      <w:proofErr w:type="spellEnd"/>
      <w:r w:rsidRPr="00742B7F">
        <w:rPr>
          <w:rFonts w:ascii="Times New Roman" w:hAnsi="Times New Roman"/>
        </w:rPr>
        <w:t xml:space="preserve">, N. Singh, </w:t>
      </w:r>
      <w:r w:rsidRPr="00742B7F">
        <w:rPr>
          <w:rFonts w:ascii="Times New Roman" w:hAnsi="Times New Roman"/>
          <w:i/>
          <w:iCs/>
        </w:rPr>
        <w:t>Delivering for citizens: How to triple the success rate of government transformations</w:t>
      </w:r>
      <w:r w:rsidRPr="00742B7F">
        <w:rPr>
          <w:rFonts w:ascii="Times New Roman" w:hAnsi="Times New Roman"/>
        </w:rPr>
        <w:t xml:space="preserve">, McKinsey and Company, 2018, available from: </w:t>
      </w:r>
      <w:hyperlink r:id="rId5" w:history="1">
        <w:r w:rsidRPr="00742B7F">
          <w:rPr>
            <w:rStyle w:val="Hyperlink"/>
            <w:rFonts w:ascii="Times New Roman" w:hAnsi="Times New Roman"/>
          </w:rPr>
          <w:t>https://www.mckinsey.com/industries/public-sector/our-insights/delivering-for-citizens-how-to-triple-the-success-rate-of-government-transformations</w:t>
        </w:r>
      </w:hyperlink>
      <w:r w:rsidRPr="00742B7F">
        <w:rPr>
          <w:rFonts w:ascii="Times New Roman" w:hAnsi="Times New Roman"/>
        </w:rPr>
        <w:t>.</w:t>
      </w:r>
    </w:p>
  </w:footnote>
  <w:footnote w:id="17">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Australian Public Service Commission, ‘The Australian Experience of Public Sector Reform’, </w:t>
      </w:r>
      <w:r w:rsidRPr="00742B7F">
        <w:rPr>
          <w:rFonts w:ascii="Times New Roman" w:hAnsi="Times New Roman"/>
          <w:i/>
          <w:iCs/>
        </w:rPr>
        <w:t>Occasional Paper Series</w:t>
      </w:r>
      <w:r w:rsidRPr="00742B7F">
        <w:rPr>
          <w:rFonts w:ascii="Times New Roman" w:hAnsi="Times New Roman"/>
        </w:rPr>
        <w:t xml:space="preserve"> no.2 (2003), Commonwealth of Australia, available at: </w:t>
      </w:r>
      <w:hyperlink r:id="rId6" w:history="1">
        <w:r w:rsidRPr="00742B7F">
          <w:rPr>
            <w:rStyle w:val="Hyperlink"/>
            <w:rFonts w:ascii="Times New Roman" w:hAnsi="Times New Roman"/>
          </w:rPr>
          <w:t>https://resources.apsc.gov.au/pre2005/exppsreform.pdf</w:t>
        </w:r>
      </w:hyperlink>
      <w:r w:rsidRPr="00742B7F">
        <w:rPr>
          <w:rFonts w:ascii="Times New Roman" w:hAnsi="Times New Roman"/>
        </w:rPr>
        <w:t>.</w:t>
      </w:r>
    </w:p>
  </w:footnote>
  <w:footnote w:id="18">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w:t>
      </w:r>
      <w:proofErr w:type="spellStart"/>
      <w:r w:rsidRPr="00742B7F">
        <w:rPr>
          <w:rFonts w:ascii="Times New Roman" w:hAnsi="Times New Roman"/>
        </w:rPr>
        <w:t>Shergold</w:t>
      </w:r>
      <w:proofErr w:type="spellEnd"/>
      <w:r w:rsidRPr="00742B7F">
        <w:rPr>
          <w:rFonts w:ascii="Times New Roman" w:hAnsi="Times New Roman"/>
        </w:rPr>
        <w:t xml:space="preserve">, P., </w:t>
      </w:r>
      <w:r w:rsidRPr="00742B7F">
        <w:rPr>
          <w:rFonts w:ascii="Times New Roman" w:hAnsi="Times New Roman"/>
          <w:i/>
          <w:iCs/>
        </w:rPr>
        <w:t>Learning from Failure: why large government policy initiatives have gone so badly wrong in the past and how the chances of success in the future can be improved</w:t>
      </w:r>
      <w:r w:rsidRPr="00742B7F">
        <w:rPr>
          <w:rFonts w:ascii="Times New Roman" w:hAnsi="Times New Roman"/>
        </w:rPr>
        <w:t xml:space="preserve">, Commonwealth of Australia, 2015, available from: </w:t>
      </w:r>
      <w:hyperlink r:id="rId7" w:history="1">
        <w:r w:rsidRPr="00742B7F">
          <w:rPr>
            <w:rStyle w:val="Hyperlink"/>
            <w:rFonts w:ascii="Times New Roman" w:hAnsi="Times New Roman"/>
          </w:rPr>
          <w:t>https://www.apsc.gov.au/learning-failure-why-large-government-policy-initiatives-have-gone-so-badly-wrong-past-and-how</w:t>
        </w:r>
      </w:hyperlink>
      <w:r w:rsidRPr="00742B7F">
        <w:rPr>
          <w:rFonts w:ascii="Times New Roman" w:hAnsi="Times New Roman"/>
        </w:rPr>
        <w:t>.</w:t>
      </w:r>
    </w:p>
  </w:footnote>
  <w:footnote w:id="19">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There is one exception – the APS has successfully become far more responsive to government following the 1984 Dawkins reforms, including the introduction of the SES, and the final abolition of Permanent Secretaries in the 1990s.</w:t>
      </w:r>
    </w:p>
  </w:footnote>
  <w:footnote w:id="20">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w:t>
      </w:r>
      <w:proofErr w:type="spellStart"/>
      <w:r w:rsidRPr="00742B7F">
        <w:rPr>
          <w:rFonts w:ascii="Times New Roman" w:hAnsi="Times New Roman"/>
        </w:rPr>
        <w:t>Wildavsky</w:t>
      </w:r>
      <w:proofErr w:type="spellEnd"/>
      <w:r w:rsidRPr="00742B7F">
        <w:rPr>
          <w:rFonts w:ascii="Times New Roman" w:hAnsi="Times New Roman"/>
        </w:rPr>
        <w:t xml:space="preserve">, A., J. Pressman, </w:t>
      </w:r>
      <w:r w:rsidRPr="00742B7F">
        <w:rPr>
          <w:rFonts w:ascii="Times New Roman" w:hAnsi="Times New Roman"/>
          <w:i/>
          <w:iCs/>
        </w:rPr>
        <w:t>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w:t>
      </w:r>
      <w:r w:rsidRPr="00742B7F">
        <w:rPr>
          <w:rFonts w:ascii="Times New Roman" w:hAnsi="Times New Roman"/>
        </w:rPr>
        <w:t>, (California, University of California Press: 1973).</w:t>
      </w:r>
    </w:p>
  </w:footnote>
  <w:footnote w:id="21">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Such recognition is particularly important in light of Innovation and Science Australia’s recent </w:t>
      </w:r>
      <w:r w:rsidRPr="00742B7F">
        <w:rPr>
          <w:rFonts w:ascii="Times New Roman" w:hAnsi="Times New Roman"/>
          <w:i/>
        </w:rPr>
        <w:t>Australia 2030</w:t>
      </w:r>
      <w:r w:rsidRPr="00742B7F">
        <w:rPr>
          <w:rFonts w:ascii="Times New Roman" w:hAnsi="Times New Roman"/>
        </w:rPr>
        <w:t xml:space="preserve"> report (Innovation and Science Australia, </w:t>
      </w:r>
      <w:r w:rsidRPr="00742B7F">
        <w:rPr>
          <w:rFonts w:ascii="Times New Roman" w:hAnsi="Times New Roman"/>
          <w:i/>
        </w:rPr>
        <w:t>Australia 2030: Prosperity through Innovation</w:t>
      </w:r>
      <w:r w:rsidRPr="00742B7F">
        <w:rPr>
          <w:rFonts w:ascii="Times New Roman" w:hAnsi="Times New Roman"/>
        </w:rPr>
        <w:t xml:space="preserve">, Commonwealth of Australia, 2017, Canberra. Available from: </w:t>
      </w:r>
      <w:hyperlink r:id="rId8" w:history="1">
        <w:r w:rsidRPr="00742B7F">
          <w:rPr>
            <w:rStyle w:val="Hyperlink"/>
            <w:rFonts w:ascii="Times New Roman" w:hAnsi="Times New Roman"/>
          </w:rPr>
          <w:t>https://www.industry.gov.au/sites/g/files/net3906/f/May%202018/document/pdf/australia-2030-prosperity-through-innovation-full-report.pdf</w:t>
        </w:r>
      </w:hyperlink>
      <w:r w:rsidRPr="00742B7F">
        <w:rPr>
          <w:rFonts w:ascii="Times New Roman" w:hAnsi="Times New Roman"/>
        </w:rPr>
        <w:t xml:space="preserve">). That report argues government should try to rebuild the nation’s cultural and basic assumptions about approaches to work from the ground up, and the terms of reference for this Review appear to respond to the cultural change elements of the ISA report. Rewriting cultural norms and behavioural outlooks cannot be done without the acceptance and cooperation of the groups being changed, nor without a genuine understanding of and sympathy for why those groups currently act as they do. For further information on cultural change in disparate groups, see E. </w:t>
      </w:r>
      <w:proofErr w:type="spellStart"/>
      <w:r w:rsidRPr="00742B7F">
        <w:rPr>
          <w:rFonts w:ascii="Times New Roman" w:hAnsi="Times New Roman"/>
        </w:rPr>
        <w:t>Subašić</w:t>
      </w:r>
      <w:proofErr w:type="spellEnd"/>
      <w:r w:rsidRPr="00742B7F">
        <w:rPr>
          <w:rFonts w:ascii="Times New Roman" w:hAnsi="Times New Roman"/>
        </w:rPr>
        <w:t xml:space="preserve">, Reynolds, K., Turner, J., ‘The Political Solidarity Model of Social Change: Dynamics of Self-Categorization in Intergroup Power Relations’, </w:t>
      </w:r>
      <w:r w:rsidRPr="00742B7F">
        <w:rPr>
          <w:rFonts w:ascii="Times New Roman" w:hAnsi="Times New Roman"/>
          <w:i/>
        </w:rPr>
        <w:t>Personality and Social Psychology Review</w:t>
      </w:r>
      <w:r w:rsidRPr="00742B7F">
        <w:rPr>
          <w:rFonts w:ascii="Times New Roman" w:hAnsi="Times New Roman"/>
        </w:rPr>
        <w:t xml:space="preserve">, vol. 12, no. 4 (2008): pp.330-352; and M. Hogg, ‘A Social Identity Theory of Leadership’, </w:t>
      </w:r>
      <w:r w:rsidRPr="00742B7F">
        <w:rPr>
          <w:rFonts w:ascii="Times New Roman" w:hAnsi="Times New Roman"/>
          <w:i/>
        </w:rPr>
        <w:t>Personality and Social Psychology Review</w:t>
      </w:r>
      <w:r w:rsidRPr="00742B7F">
        <w:rPr>
          <w:rFonts w:ascii="Times New Roman" w:hAnsi="Times New Roman"/>
        </w:rPr>
        <w:t>, vol. 5, no. 3 (2001): pp.184-200.</w:t>
      </w:r>
    </w:p>
  </w:footnote>
  <w:footnote w:id="22">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That a large portion (arguably a majority) of the population do not approach their work this way is tacitly acknowledged in the ISA’s </w:t>
      </w:r>
      <w:r w:rsidRPr="00742B7F">
        <w:rPr>
          <w:rFonts w:ascii="Times New Roman" w:hAnsi="Times New Roman"/>
          <w:i/>
        </w:rPr>
        <w:t>Australia 2030</w:t>
      </w:r>
      <w:r w:rsidRPr="00742B7F">
        <w:rPr>
          <w:rFonts w:ascii="Times New Roman" w:hAnsi="Times New Roman"/>
        </w:rPr>
        <w:t xml:space="preserve"> report calling for the creation and instilling of ambition to achieve and ambition to innovate across the population as necessary precursors to the kind of cultural change the report advocates.</w:t>
      </w:r>
    </w:p>
  </w:footnote>
  <w:footnote w:id="23">
    <w:p w:rsidR="00F63DB6" w:rsidRPr="00742B7F" w:rsidRDefault="00F63DB6" w:rsidP="00F63DB6">
      <w:pPr>
        <w:pStyle w:val="FootnoteText"/>
        <w:rPr>
          <w:rFonts w:ascii="Times New Roman" w:hAnsi="Times New Roman"/>
        </w:rPr>
      </w:pPr>
      <w:r w:rsidRPr="00742B7F">
        <w:rPr>
          <w:rStyle w:val="FootnoteReference"/>
          <w:rFonts w:ascii="Times New Roman" w:hAnsi="Times New Roman"/>
        </w:rPr>
        <w:footnoteRef/>
      </w:r>
      <w:r w:rsidRPr="00742B7F">
        <w:rPr>
          <w:rFonts w:ascii="Times New Roman" w:hAnsi="Times New Roman"/>
        </w:rPr>
        <w:t xml:space="preserve"> The pioneering work on this kind of approach to cultural change through informal discussion was Paulo Freire’s </w:t>
      </w:r>
      <w:r w:rsidRPr="00742B7F">
        <w:rPr>
          <w:rFonts w:ascii="Times New Roman" w:hAnsi="Times New Roman"/>
          <w:i/>
          <w:iCs/>
        </w:rPr>
        <w:t>Pedagogy of the Oppressed</w:t>
      </w:r>
      <w:r w:rsidRPr="00742B7F">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B16" w:rsidRPr="007F6756" w:rsidRDefault="00D9337A" w:rsidP="00E02B16">
    <w:pPr>
      <w:pStyle w:val="Header"/>
      <w:tabs>
        <w:tab w:val="left" w:pos="10080"/>
      </w:tabs>
      <w:ind w:right="124"/>
      <w:rPr>
        <w:rFonts w:cs="Arial"/>
        <w:b/>
        <w:bCs/>
        <w:szCs w:val="22"/>
      </w:rPr>
    </w:pPr>
    <w:r>
      <w:rPr>
        <w:rFonts w:cs="Arial"/>
        <w:b/>
        <w:bCs/>
        <w:szCs w:val="22"/>
      </w:rPr>
      <w:t xml:space="preserve">  </w:t>
    </w:r>
    <w:r w:rsidRPr="007F6756">
      <w:rPr>
        <w:rFonts w:cs="Arial"/>
        <w:b/>
        <w:bCs/>
        <w:szCs w:val="22"/>
      </w:rPr>
      <w:t>SUBMISSION TO THE INDEPENDENT REVIEW INTO THE APS</w:t>
    </w:r>
    <w:r w:rsidR="00E02B16">
      <w:rPr>
        <w:rFonts w:cs="Arial"/>
        <w:b/>
        <w:bCs/>
        <w:szCs w:val="22"/>
      </w:rPr>
      <w:t xml:space="preserve"> </w:t>
    </w:r>
    <w:r w:rsidR="00E02B16">
      <w:rPr>
        <w:rFonts w:cs="Arial"/>
        <w:b/>
        <w:bCs/>
        <w:szCs w:val="22"/>
      </w:rPr>
      <w:t>– ATTACHMENT A</w:t>
    </w:r>
  </w:p>
  <w:p w:rsidR="00D9337A" w:rsidRPr="00A33B7B" w:rsidRDefault="00D9337A" w:rsidP="00E02B16">
    <w:pPr>
      <w:pStyle w:val="Header"/>
      <w:tabs>
        <w:tab w:val="left" w:pos="10080"/>
      </w:tabs>
      <w:ind w:right="124"/>
      <w:rPr>
        <w:rFonts w:cs="Arial"/>
        <w:b/>
        <w:bCs/>
        <w:szCs w:val="22"/>
      </w:rPr>
    </w:pPr>
    <w:r>
      <w:rPr>
        <w:rFonts w:cs="Arial"/>
        <w:b/>
        <w:bCs/>
        <w:szCs w:val="22"/>
      </w:rPr>
      <w:t xml:space="preserve">  </w:t>
    </w:r>
    <w:r w:rsidRPr="00A33B7B">
      <w:rPr>
        <w:rFonts w:cs="Arial"/>
        <w:b/>
        <w:bCs/>
        <w:szCs w:val="22"/>
      </w:rPr>
      <w:t>___</w:t>
    </w:r>
    <w:r>
      <w:rPr>
        <w:rFonts w:cs="Arial"/>
        <w:b/>
        <w:bCs/>
        <w:szCs w:val="22"/>
      </w:rPr>
      <w:t>______________________________________________________________________________</w:t>
    </w:r>
  </w:p>
  <w:p w:rsidR="00D9337A" w:rsidRDefault="00D9337A">
    <w:pPr>
      <w:pStyle w:val="Header"/>
    </w:pPr>
  </w:p>
  <w:p w:rsidR="00D9337A" w:rsidRDefault="00D93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7A" w:rsidRPr="007F6756" w:rsidRDefault="00D9337A" w:rsidP="00D9337A">
    <w:pPr>
      <w:pStyle w:val="Header"/>
      <w:tabs>
        <w:tab w:val="left" w:pos="10080"/>
      </w:tabs>
      <w:ind w:right="124"/>
      <w:rPr>
        <w:rFonts w:cs="Arial"/>
        <w:b/>
        <w:bCs/>
        <w:szCs w:val="22"/>
      </w:rPr>
    </w:pPr>
    <w:r>
      <w:rPr>
        <w:rFonts w:cs="Arial"/>
        <w:b/>
        <w:bCs/>
        <w:szCs w:val="22"/>
      </w:rPr>
      <w:t xml:space="preserve">  </w:t>
    </w:r>
    <w:r w:rsidRPr="007F6756">
      <w:rPr>
        <w:rFonts w:cs="Arial"/>
        <w:b/>
        <w:bCs/>
        <w:szCs w:val="22"/>
      </w:rPr>
      <w:t>SUBMISSION TO THE INDEPENDENT REVIEW INTO THE APS</w:t>
    </w:r>
    <w:r w:rsidR="004B4E1E">
      <w:rPr>
        <w:rFonts w:cs="Arial"/>
        <w:b/>
        <w:bCs/>
        <w:szCs w:val="22"/>
      </w:rPr>
      <w:t xml:space="preserve"> – ATTACHMENT A</w:t>
    </w:r>
  </w:p>
  <w:p w:rsidR="00D9337A" w:rsidRPr="00A33B7B" w:rsidRDefault="00D9337A" w:rsidP="00D9337A">
    <w:pPr>
      <w:pStyle w:val="Footer"/>
      <w:rPr>
        <w:rFonts w:cs="Arial"/>
        <w:b/>
        <w:bCs/>
        <w:szCs w:val="22"/>
      </w:rPr>
    </w:pPr>
    <w:r>
      <w:rPr>
        <w:rFonts w:cs="Arial"/>
        <w:b/>
        <w:bCs/>
        <w:szCs w:val="22"/>
      </w:rPr>
      <w:t xml:space="preserve">  </w:t>
    </w:r>
    <w:r w:rsidRPr="00A33B7B">
      <w:rPr>
        <w:rFonts w:cs="Arial"/>
        <w:b/>
        <w:bCs/>
        <w:szCs w:val="22"/>
      </w:rPr>
      <w:t>___</w:t>
    </w:r>
    <w:r>
      <w:rPr>
        <w:rFonts w:cs="Arial"/>
        <w:b/>
        <w:bCs/>
        <w:szCs w:val="22"/>
      </w:rPr>
      <w:t>______________________________________________________________________________</w:t>
    </w:r>
  </w:p>
  <w:p w:rsidR="00D9337A" w:rsidRDefault="00D9337A" w:rsidP="00D9337A">
    <w:pPr>
      <w:pStyle w:val="Header"/>
    </w:pPr>
  </w:p>
  <w:p w:rsidR="00100BEF" w:rsidRDefault="0010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48B871CF"/>
    <w:multiLevelType w:val="multilevel"/>
    <w:tmpl w:val="E5E89F92"/>
    <w:numStyleLink w:val="BulletList"/>
  </w:abstractNum>
  <w:abstractNum w:abstractNumId="27" w15:restartNumberingAfterBreak="0">
    <w:nsid w:val="49016841"/>
    <w:multiLevelType w:val="multilevel"/>
    <w:tmpl w:val="E5E89F92"/>
    <w:numStyleLink w:val="BulletList"/>
  </w:abstractNum>
  <w:abstractNum w:abstractNumId="28" w15:restartNumberingAfterBreak="0">
    <w:nsid w:val="51A44175"/>
    <w:multiLevelType w:val="multilevel"/>
    <w:tmpl w:val="E5E89F92"/>
    <w:numStyleLink w:val="BulletList"/>
  </w:abstractNum>
  <w:abstractNum w:abstractNumId="29"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456429"/>
    <w:multiLevelType w:val="multilevel"/>
    <w:tmpl w:val="E898CC72"/>
    <w:numStyleLink w:val="KeyPoints"/>
  </w:abstractNum>
  <w:abstractNum w:abstractNumId="31" w15:restartNumberingAfterBreak="0">
    <w:nsid w:val="664663A1"/>
    <w:multiLevelType w:val="hybridMultilevel"/>
    <w:tmpl w:val="DD300B1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88260C9"/>
    <w:multiLevelType w:val="multilevel"/>
    <w:tmpl w:val="E898CC72"/>
    <w:numStyleLink w:val="KeyPoints"/>
  </w:abstractNum>
  <w:abstractNum w:abstractNumId="43"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8"/>
  </w:num>
  <w:num w:numId="6">
    <w:abstractNumId w:val="39"/>
  </w:num>
  <w:num w:numId="7">
    <w:abstractNumId w:val="34"/>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3"/>
  </w:num>
  <w:num w:numId="17">
    <w:abstractNumId w:val="12"/>
  </w:num>
  <w:num w:numId="18">
    <w:abstractNumId w:val="32"/>
  </w:num>
  <w:num w:numId="19">
    <w:abstractNumId w:val="11"/>
  </w:num>
  <w:num w:numId="20">
    <w:abstractNumId w:val="20"/>
  </w:num>
  <w:num w:numId="21">
    <w:abstractNumId w:val="14"/>
  </w:num>
  <w:num w:numId="22">
    <w:abstractNumId w:val="19"/>
  </w:num>
  <w:num w:numId="23">
    <w:abstractNumId w:val="27"/>
  </w:num>
  <w:num w:numId="24">
    <w:abstractNumId w:val="37"/>
  </w:num>
  <w:num w:numId="25">
    <w:abstractNumId w:val="33"/>
  </w:num>
  <w:num w:numId="26">
    <w:abstractNumId w:val="25"/>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6"/>
  </w:num>
  <w:num w:numId="32">
    <w:abstractNumId w:val="33"/>
  </w:num>
  <w:num w:numId="33">
    <w:abstractNumId w:val="28"/>
  </w:num>
  <w:num w:numId="34">
    <w:abstractNumId w:val="17"/>
  </w:num>
  <w:num w:numId="35">
    <w:abstractNumId w:val="29"/>
  </w:num>
  <w:num w:numId="36">
    <w:abstractNumId w:val="44"/>
  </w:num>
  <w:num w:numId="37">
    <w:abstractNumId w:val="44"/>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2"/>
  </w:num>
  <w:num w:numId="45">
    <w:abstractNumId w:val="35"/>
  </w:num>
  <w:num w:numId="46">
    <w:abstractNumId w:val="45"/>
  </w:num>
  <w:num w:numId="47">
    <w:abstractNumId w:val="30"/>
  </w:num>
  <w:num w:numId="48">
    <w:abstractNumId w:val="1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2C3FCC"/>
    <w:rsid w:val="00002890"/>
    <w:rsid w:val="00004AEE"/>
    <w:rsid w:val="00005CAA"/>
    <w:rsid w:val="00010210"/>
    <w:rsid w:val="00012D66"/>
    <w:rsid w:val="00015ADA"/>
    <w:rsid w:val="00020C99"/>
    <w:rsid w:val="0002707B"/>
    <w:rsid w:val="0005148E"/>
    <w:rsid w:val="00072C5A"/>
    <w:rsid w:val="000759E5"/>
    <w:rsid w:val="00084AC6"/>
    <w:rsid w:val="00091608"/>
    <w:rsid w:val="0009333C"/>
    <w:rsid w:val="0009704F"/>
    <w:rsid w:val="000A0F11"/>
    <w:rsid w:val="000A125A"/>
    <w:rsid w:val="000A57CD"/>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52D8"/>
    <w:rsid w:val="00166973"/>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D66CF"/>
    <w:rsid w:val="001E1182"/>
    <w:rsid w:val="00202C90"/>
    <w:rsid w:val="00213DE8"/>
    <w:rsid w:val="00216118"/>
    <w:rsid w:val="002209AB"/>
    <w:rsid w:val="002251E3"/>
    <w:rsid w:val="00227A95"/>
    <w:rsid w:val="002316BD"/>
    <w:rsid w:val="002473FC"/>
    <w:rsid w:val="00252E3C"/>
    <w:rsid w:val="00254644"/>
    <w:rsid w:val="00262198"/>
    <w:rsid w:val="00285F1B"/>
    <w:rsid w:val="00292B81"/>
    <w:rsid w:val="002B18AE"/>
    <w:rsid w:val="002C07E4"/>
    <w:rsid w:val="002C1C93"/>
    <w:rsid w:val="002C3FCC"/>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4A70"/>
    <w:rsid w:val="003B60CC"/>
    <w:rsid w:val="003B625F"/>
    <w:rsid w:val="003B6945"/>
    <w:rsid w:val="003C1B25"/>
    <w:rsid w:val="003C2443"/>
    <w:rsid w:val="003C5DA3"/>
    <w:rsid w:val="003D3289"/>
    <w:rsid w:val="003D4BCD"/>
    <w:rsid w:val="003D6C2B"/>
    <w:rsid w:val="003E01D8"/>
    <w:rsid w:val="003E2100"/>
    <w:rsid w:val="003F6F5B"/>
    <w:rsid w:val="0040342D"/>
    <w:rsid w:val="0041192D"/>
    <w:rsid w:val="00412CBA"/>
    <w:rsid w:val="00413EE1"/>
    <w:rsid w:val="00414AEA"/>
    <w:rsid w:val="0042128E"/>
    <w:rsid w:val="00432B60"/>
    <w:rsid w:val="00440698"/>
    <w:rsid w:val="004540E2"/>
    <w:rsid w:val="00454454"/>
    <w:rsid w:val="00467924"/>
    <w:rsid w:val="004712A5"/>
    <w:rsid w:val="0047266F"/>
    <w:rsid w:val="00476D6B"/>
    <w:rsid w:val="00492C16"/>
    <w:rsid w:val="004A0678"/>
    <w:rsid w:val="004A4734"/>
    <w:rsid w:val="004A48A3"/>
    <w:rsid w:val="004B0D92"/>
    <w:rsid w:val="004B0EC0"/>
    <w:rsid w:val="004B1717"/>
    <w:rsid w:val="004B4E1E"/>
    <w:rsid w:val="004B66F1"/>
    <w:rsid w:val="004C3EA0"/>
    <w:rsid w:val="004E53AA"/>
    <w:rsid w:val="004F7169"/>
    <w:rsid w:val="00500D66"/>
    <w:rsid w:val="00514C8E"/>
    <w:rsid w:val="005279E5"/>
    <w:rsid w:val="0053080F"/>
    <w:rsid w:val="00531DBF"/>
    <w:rsid w:val="00545759"/>
    <w:rsid w:val="00545BE0"/>
    <w:rsid w:val="00546930"/>
    <w:rsid w:val="00554C6A"/>
    <w:rsid w:val="00557FB5"/>
    <w:rsid w:val="00562E85"/>
    <w:rsid w:val="0056332F"/>
    <w:rsid w:val="005719B3"/>
    <w:rsid w:val="0057295E"/>
    <w:rsid w:val="00581C39"/>
    <w:rsid w:val="005903B6"/>
    <w:rsid w:val="0059663D"/>
    <w:rsid w:val="005A0247"/>
    <w:rsid w:val="005A126E"/>
    <w:rsid w:val="005A452F"/>
    <w:rsid w:val="005B140D"/>
    <w:rsid w:val="005C1260"/>
    <w:rsid w:val="005C1FEA"/>
    <w:rsid w:val="005C3495"/>
    <w:rsid w:val="005E3DFC"/>
    <w:rsid w:val="005E3FEB"/>
    <w:rsid w:val="005E5942"/>
    <w:rsid w:val="005E60AF"/>
    <w:rsid w:val="005F1DEA"/>
    <w:rsid w:val="005F77BB"/>
    <w:rsid w:val="00607FC9"/>
    <w:rsid w:val="00622FE1"/>
    <w:rsid w:val="0062521C"/>
    <w:rsid w:val="00630A2B"/>
    <w:rsid w:val="00632DC7"/>
    <w:rsid w:val="006357FB"/>
    <w:rsid w:val="006406FC"/>
    <w:rsid w:val="00640E57"/>
    <w:rsid w:val="00646122"/>
    <w:rsid w:val="00653E16"/>
    <w:rsid w:val="00654B50"/>
    <w:rsid w:val="00657220"/>
    <w:rsid w:val="00657362"/>
    <w:rsid w:val="0066104B"/>
    <w:rsid w:val="006655EE"/>
    <w:rsid w:val="00667C10"/>
    <w:rsid w:val="00667EF4"/>
    <w:rsid w:val="00676FCA"/>
    <w:rsid w:val="00677177"/>
    <w:rsid w:val="0068612E"/>
    <w:rsid w:val="00687C92"/>
    <w:rsid w:val="0069534E"/>
    <w:rsid w:val="0069669C"/>
    <w:rsid w:val="006A088D"/>
    <w:rsid w:val="006A1200"/>
    <w:rsid w:val="006A4F4E"/>
    <w:rsid w:val="006A6C23"/>
    <w:rsid w:val="006B14DB"/>
    <w:rsid w:val="006B21C4"/>
    <w:rsid w:val="006C4A1A"/>
    <w:rsid w:val="006D0393"/>
    <w:rsid w:val="006D1A83"/>
    <w:rsid w:val="006E1CFE"/>
    <w:rsid w:val="006F10C4"/>
    <w:rsid w:val="006F40E9"/>
    <w:rsid w:val="006F5603"/>
    <w:rsid w:val="006F7B87"/>
    <w:rsid w:val="00701400"/>
    <w:rsid w:val="007037CF"/>
    <w:rsid w:val="007167C0"/>
    <w:rsid w:val="00716CF3"/>
    <w:rsid w:val="00720481"/>
    <w:rsid w:val="00733193"/>
    <w:rsid w:val="00742B7F"/>
    <w:rsid w:val="00744DDA"/>
    <w:rsid w:val="00745E03"/>
    <w:rsid w:val="007571C1"/>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7E453C"/>
    <w:rsid w:val="007F71AD"/>
    <w:rsid w:val="00800F64"/>
    <w:rsid w:val="00801050"/>
    <w:rsid w:val="00802F0B"/>
    <w:rsid w:val="00810A67"/>
    <w:rsid w:val="008177B0"/>
    <w:rsid w:val="00833CF7"/>
    <w:rsid w:val="00834CDE"/>
    <w:rsid w:val="00842464"/>
    <w:rsid w:val="00845601"/>
    <w:rsid w:val="00855C5C"/>
    <w:rsid w:val="008A3C96"/>
    <w:rsid w:val="008B4019"/>
    <w:rsid w:val="008B65C9"/>
    <w:rsid w:val="008C2D4A"/>
    <w:rsid w:val="008D3900"/>
    <w:rsid w:val="008D6E1D"/>
    <w:rsid w:val="008F39B4"/>
    <w:rsid w:val="008F4162"/>
    <w:rsid w:val="00903E02"/>
    <w:rsid w:val="00903FDD"/>
    <w:rsid w:val="00913175"/>
    <w:rsid w:val="00916EDB"/>
    <w:rsid w:val="00920861"/>
    <w:rsid w:val="00922B13"/>
    <w:rsid w:val="009242EF"/>
    <w:rsid w:val="009301F6"/>
    <w:rsid w:val="00932291"/>
    <w:rsid w:val="00932861"/>
    <w:rsid w:val="0093408E"/>
    <w:rsid w:val="00952DDF"/>
    <w:rsid w:val="009610A3"/>
    <w:rsid w:val="00963B6A"/>
    <w:rsid w:val="00970950"/>
    <w:rsid w:val="009812D4"/>
    <w:rsid w:val="009920D8"/>
    <w:rsid w:val="009952F5"/>
    <w:rsid w:val="009A6DB7"/>
    <w:rsid w:val="009B38BE"/>
    <w:rsid w:val="009C3D0F"/>
    <w:rsid w:val="009E1B19"/>
    <w:rsid w:val="009F35E2"/>
    <w:rsid w:val="009F65F9"/>
    <w:rsid w:val="009F68BA"/>
    <w:rsid w:val="00A01AF9"/>
    <w:rsid w:val="00A06277"/>
    <w:rsid w:val="00A079DC"/>
    <w:rsid w:val="00A111C2"/>
    <w:rsid w:val="00A15BF2"/>
    <w:rsid w:val="00A338E7"/>
    <w:rsid w:val="00A35CAA"/>
    <w:rsid w:val="00A36E7F"/>
    <w:rsid w:val="00A41E65"/>
    <w:rsid w:val="00A42063"/>
    <w:rsid w:val="00A43E0A"/>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B0512A"/>
    <w:rsid w:val="00B0529F"/>
    <w:rsid w:val="00B1418B"/>
    <w:rsid w:val="00B16CDD"/>
    <w:rsid w:val="00B21195"/>
    <w:rsid w:val="00B24B22"/>
    <w:rsid w:val="00B25310"/>
    <w:rsid w:val="00B32F8F"/>
    <w:rsid w:val="00B3492A"/>
    <w:rsid w:val="00B54DE9"/>
    <w:rsid w:val="00B553EC"/>
    <w:rsid w:val="00B55E3F"/>
    <w:rsid w:val="00B63C1E"/>
    <w:rsid w:val="00B93DD0"/>
    <w:rsid w:val="00B97732"/>
    <w:rsid w:val="00BA190F"/>
    <w:rsid w:val="00BA65A8"/>
    <w:rsid w:val="00BA6D19"/>
    <w:rsid w:val="00BA7461"/>
    <w:rsid w:val="00BA7DA9"/>
    <w:rsid w:val="00BC4215"/>
    <w:rsid w:val="00BD1A6F"/>
    <w:rsid w:val="00BD5055"/>
    <w:rsid w:val="00BE6D3C"/>
    <w:rsid w:val="00BE7852"/>
    <w:rsid w:val="00BF7CEE"/>
    <w:rsid w:val="00C03880"/>
    <w:rsid w:val="00C135CF"/>
    <w:rsid w:val="00C2683F"/>
    <w:rsid w:val="00C3184D"/>
    <w:rsid w:val="00C4714E"/>
    <w:rsid w:val="00C477C3"/>
    <w:rsid w:val="00C51CCA"/>
    <w:rsid w:val="00C5443B"/>
    <w:rsid w:val="00C5504F"/>
    <w:rsid w:val="00C57B55"/>
    <w:rsid w:val="00C63376"/>
    <w:rsid w:val="00C74F97"/>
    <w:rsid w:val="00C8276E"/>
    <w:rsid w:val="00C842AC"/>
    <w:rsid w:val="00C96688"/>
    <w:rsid w:val="00CA0723"/>
    <w:rsid w:val="00CA72D3"/>
    <w:rsid w:val="00CB1690"/>
    <w:rsid w:val="00CB72F1"/>
    <w:rsid w:val="00CC4365"/>
    <w:rsid w:val="00CD11B0"/>
    <w:rsid w:val="00CE71C2"/>
    <w:rsid w:val="00CF34E9"/>
    <w:rsid w:val="00CF42D5"/>
    <w:rsid w:val="00CF4EDA"/>
    <w:rsid w:val="00D021CB"/>
    <w:rsid w:val="00D10F1A"/>
    <w:rsid w:val="00D116F8"/>
    <w:rsid w:val="00D17596"/>
    <w:rsid w:val="00D21D54"/>
    <w:rsid w:val="00D22640"/>
    <w:rsid w:val="00D26D3A"/>
    <w:rsid w:val="00D45EE3"/>
    <w:rsid w:val="00D50618"/>
    <w:rsid w:val="00D509E9"/>
    <w:rsid w:val="00D53B1C"/>
    <w:rsid w:val="00D9337A"/>
    <w:rsid w:val="00DA1B12"/>
    <w:rsid w:val="00DA54C9"/>
    <w:rsid w:val="00DA6739"/>
    <w:rsid w:val="00DA6CAE"/>
    <w:rsid w:val="00DB1A9E"/>
    <w:rsid w:val="00DB31D6"/>
    <w:rsid w:val="00DB4005"/>
    <w:rsid w:val="00DC34EB"/>
    <w:rsid w:val="00DF1E5B"/>
    <w:rsid w:val="00DF2275"/>
    <w:rsid w:val="00DF3F5E"/>
    <w:rsid w:val="00DF5653"/>
    <w:rsid w:val="00E02B16"/>
    <w:rsid w:val="00E0596E"/>
    <w:rsid w:val="00E06F66"/>
    <w:rsid w:val="00E27879"/>
    <w:rsid w:val="00E356E5"/>
    <w:rsid w:val="00E36F81"/>
    <w:rsid w:val="00E45765"/>
    <w:rsid w:val="00E5098C"/>
    <w:rsid w:val="00E60213"/>
    <w:rsid w:val="00E661B2"/>
    <w:rsid w:val="00E74D29"/>
    <w:rsid w:val="00E83C74"/>
    <w:rsid w:val="00E83CEE"/>
    <w:rsid w:val="00E91F18"/>
    <w:rsid w:val="00E9226D"/>
    <w:rsid w:val="00EA416C"/>
    <w:rsid w:val="00EA5941"/>
    <w:rsid w:val="00EB60CE"/>
    <w:rsid w:val="00EB7D53"/>
    <w:rsid w:val="00EE3146"/>
    <w:rsid w:val="00EF50BB"/>
    <w:rsid w:val="00EF53FF"/>
    <w:rsid w:val="00F00192"/>
    <w:rsid w:val="00F01DF6"/>
    <w:rsid w:val="00F0340D"/>
    <w:rsid w:val="00F059A6"/>
    <w:rsid w:val="00F12A46"/>
    <w:rsid w:val="00F23756"/>
    <w:rsid w:val="00F2523A"/>
    <w:rsid w:val="00F25FFA"/>
    <w:rsid w:val="00F310D2"/>
    <w:rsid w:val="00F36F3D"/>
    <w:rsid w:val="00F477BD"/>
    <w:rsid w:val="00F53491"/>
    <w:rsid w:val="00F57EA5"/>
    <w:rsid w:val="00F63DB6"/>
    <w:rsid w:val="00F65A1C"/>
    <w:rsid w:val="00F66F50"/>
    <w:rsid w:val="00F75748"/>
    <w:rsid w:val="00F80419"/>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A4CD3-FAFD-4320-BF9E-CCFCE308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53AA"/>
    <w:rPr>
      <w:sz w:val="22"/>
      <w:szCs w:val="24"/>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rPr>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paragraph" w:styleId="FootnoteText">
    <w:name w:val="footnote text"/>
    <w:basedOn w:val="Normal"/>
    <w:link w:val="FootnoteTextChar"/>
    <w:uiPriority w:val="99"/>
    <w:semiHidden/>
    <w:unhideWhenUsed/>
    <w:rsid w:val="00412CBA"/>
    <w:rPr>
      <w:sz w:val="20"/>
      <w:szCs w:val="20"/>
    </w:rPr>
  </w:style>
  <w:style w:type="character" w:customStyle="1" w:styleId="FootnoteTextChar">
    <w:name w:val="Footnote Text Char"/>
    <w:basedOn w:val="DefaultParagraphFont"/>
    <w:link w:val="FootnoteText"/>
    <w:uiPriority w:val="99"/>
    <w:semiHidden/>
    <w:rsid w:val="00412CBA"/>
    <w:rPr>
      <w:lang w:eastAsia="en-US"/>
    </w:rPr>
  </w:style>
  <w:style w:type="character" w:styleId="FootnoteReference">
    <w:name w:val="footnote reference"/>
    <w:basedOn w:val="DefaultParagraphFont"/>
    <w:uiPriority w:val="99"/>
    <w:semiHidden/>
    <w:unhideWhenUsed/>
    <w:rsid w:val="00412CBA"/>
    <w:rPr>
      <w:vertAlign w:val="superscript"/>
    </w:rPr>
  </w:style>
  <w:style w:type="character" w:styleId="Hyperlink">
    <w:name w:val="Hyperlink"/>
    <w:basedOn w:val="DefaultParagraphFont"/>
    <w:uiPriority w:val="99"/>
    <w:unhideWhenUsed/>
    <w:rsid w:val="00CB7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sites/g/files/net3906/f/May%202018/document/pdf/australia-2030-prosperity-through-innovation-full-report.pdf" TargetMode="External"/><Relationship Id="rId3" Type="http://schemas.openxmlformats.org/officeDocument/2006/relationships/hyperlink" Target="https://www.ohchr.org/documents/issues/poverty/eom_gb_16nov2018.pdf" TargetMode="External"/><Relationship Id="rId7" Type="http://schemas.openxmlformats.org/officeDocument/2006/relationships/hyperlink" Target="https://www.apsc.gov.au/learning-failure-why-large-government-policy-initiatives-have-gone-so-badly-wrong-past-and-how" TargetMode="External"/><Relationship Id="rId2" Type="http://schemas.openxmlformats.org/officeDocument/2006/relationships/hyperlink" Target="https://www.mckinsey.com/industries/public-sector/our-insights/delivering-for-citizens-how-to-triple-the-success-rate-of-government-transformations" TargetMode="External"/><Relationship Id="rId1" Type="http://schemas.openxmlformats.org/officeDocument/2006/relationships/hyperlink" Target="https://hbr.org/1991/05/teaching-smart-people-how-to-learn" TargetMode="External"/><Relationship Id="rId6" Type="http://schemas.openxmlformats.org/officeDocument/2006/relationships/hyperlink" Target="https://resources.apsc.gov.au/pre2005/exppsreform.pdf" TargetMode="External"/><Relationship Id="rId5" Type="http://schemas.openxmlformats.org/officeDocument/2006/relationships/hyperlink" Target="https://www.mckinsey.com/industries/public-sector/our-insights/delivering-for-citizens-how-to-triple-the-success-rate-of-government-transformations" TargetMode="External"/><Relationship Id="rId4" Type="http://schemas.openxmlformats.org/officeDocument/2006/relationships/hyperlink" Target="https://rework.withgoogle.com/print/guides/5721312655835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ShareHubID xmlns="166541c0-0594-4e6a-9105-c24d4b6de6f7">DOC19-444912</ShareHubID>
    <TaxCatchAll xmlns="166541c0-0594-4e6a-9105-c24d4b6de6f7">
      <Value>33</Value>
      <Value>23</Value>
      <Value>57</Value>
    </TaxCatchAll>
    <PMCNotes xmlns="166541c0-0594-4e6a-9105-c24d4b6de6f7"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schemas.microsoft.com/office/2006/metadata/properties"/>
    <ds:schemaRef ds:uri="94e070df-f2d7-4164-8c33-edbc83da752d"/>
    <ds:schemaRef ds:uri="d3d3a9f2-d6b9-4ac6-938b-c1d69a470220"/>
  </ds:schemaRefs>
</ds:datastoreItem>
</file>

<file path=customXml/itemProps2.xml><?xml version="1.0" encoding="utf-8"?>
<ds:datastoreItem xmlns:ds="http://schemas.openxmlformats.org/officeDocument/2006/customXml" ds:itemID="{59F8872D-977F-4ECA-83DA-18F2BCD7ACAD}"/>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08AADA35-7C56-4341-A186-CA9A502D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97C6541C.dotm</Template>
  <TotalTime>284</TotalTime>
  <Pages>10</Pages>
  <Words>4992</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Blank document</vt:lpstr>
    </vt:vector>
  </TitlesOfParts>
  <Company>The Department of the Environment</Company>
  <LinksUpToDate>false</LinksUpToDate>
  <CharactersWithSpaces>33381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Zachary Neulinger</dc:creator>
  <cp:keywords/>
  <dc:description/>
  <cp:lastModifiedBy>Zachary Neulinger</cp:lastModifiedBy>
  <cp:revision>37</cp:revision>
  <dcterms:created xsi:type="dcterms:W3CDTF">2019-03-31T23:17:00Z</dcterms:created>
  <dcterms:modified xsi:type="dcterms:W3CDTF">2019-04-15T02:23:00Z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33;#Royal Commission|1b5ec731-3e16-44b1-86f4-0c46c4cdd7b2;#23;#FOI|3bd0c9b6-db84-47f5-bbae-6de7354427ca</vt:lpwstr>
  </property>
  <property fmtid="{D5CDD505-2E9C-101B-9397-08002B2CF9AE}" pid="3" name="PMC.ESearch.TagGeneratedTime">
    <vt:lpwstr>2019-12-09T15:23:24</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