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1DAD6" w14:textId="77777777" w:rsidR="007E05F0" w:rsidRPr="00AA7AA3" w:rsidRDefault="007E05F0" w:rsidP="009E5D52">
      <w:pPr>
        <w:rPr>
          <w:rFonts w:cstheme="minorHAnsi"/>
          <w:b/>
        </w:rPr>
      </w:pPr>
    </w:p>
    <w:p w14:paraId="2E928964" w14:textId="6AB0F0ED" w:rsidR="007E05F0" w:rsidRPr="00AA7AA3" w:rsidRDefault="007E05F0" w:rsidP="007E05F0">
      <w:pPr>
        <w:pStyle w:val="Heading1"/>
        <w:jc w:val="both"/>
        <w:rPr>
          <w:rFonts w:asciiTheme="minorHAnsi" w:hAnsiTheme="minorHAnsi" w:cstheme="minorHAnsi"/>
        </w:rPr>
      </w:pPr>
      <w:r w:rsidRPr="00AA7AA3">
        <w:rPr>
          <w:rFonts w:asciiTheme="minorHAnsi" w:hAnsiTheme="minorHAnsi" w:cstheme="minorHAnsi"/>
          <w:sz w:val="20"/>
          <w:szCs w:val="20"/>
        </w:rPr>
        <w:t xml:space="preserve"> </w:t>
      </w:r>
    </w:p>
    <w:p w14:paraId="46AD9027" w14:textId="77777777" w:rsidR="007E05F0" w:rsidRPr="00AA7AA3" w:rsidRDefault="007E05F0" w:rsidP="007E05F0">
      <w:pPr>
        <w:rPr>
          <w:rFonts w:cstheme="minorHAnsi"/>
        </w:rPr>
      </w:pPr>
    </w:p>
    <w:p w14:paraId="0B80054F" w14:textId="587769CC" w:rsidR="007E05F0" w:rsidRPr="00AA7AA3" w:rsidRDefault="003333E0" w:rsidP="00F23532">
      <w:pPr>
        <w:jc w:val="center"/>
        <w:rPr>
          <w:rFonts w:cstheme="minorHAnsi"/>
        </w:rPr>
      </w:pPr>
      <w:r w:rsidRPr="00AA7AA3">
        <w:rPr>
          <w:rFonts w:cstheme="minorHAnsi"/>
          <w:noProof/>
          <w:sz w:val="24"/>
          <w:szCs w:val="24"/>
        </w:rPr>
        <w:drawing>
          <wp:inline distT="0" distB="0" distL="0" distR="0" wp14:anchorId="18BC34F1" wp14:editId="253901F9">
            <wp:extent cx="2286000" cy="1453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927" cy="1453997"/>
                    </a:xfrm>
                    <a:prstGeom prst="rect">
                      <a:avLst/>
                    </a:prstGeom>
                    <a:noFill/>
                    <a:ln>
                      <a:noFill/>
                    </a:ln>
                  </pic:spPr>
                </pic:pic>
              </a:graphicData>
            </a:graphic>
          </wp:inline>
        </w:drawing>
      </w:r>
    </w:p>
    <w:p w14:paraId="495852B5" w14:textId="77777777" w:rsidR="007E05F0" w:rsidRPr="00AA7AA3" w:rsidRDefault="007E05F0" w:rsidP="007E05F0">
      <w:pPr>
        <w:rPr>
          <w:rFonts w:cstheme="minorHAnsi"/>
        </w:rPr>
      </w:pPr>
    </w:p>
    <w:p w14:paraId="5C69CDA2" w14:textId="77777777" w:rsidR="007E05F0" w:rsidRPr="00AA7AA3" w:rsidRDefault="007E05F0" w:rsidP="007E05F0">
      <w:pPr>
        <w:rPr>
          <w:rFonts w:cstheme="minorHAnsi"/>
        </w:rPr>
      </w:pPr>
    </w:p>
    <w:p w14:paraId="62029E8F" w14:textId="77777777" w:rsidR="007E05F0" w:rsidRPr="00AA7AA3" w:rsidRDefault="007E05F0" w:rsidP="007E05F0">
      <w:pPr>
        <w:rPr>
          <w:rFonts w:cstheme="minorHAnsi"/>
          <w:b/>
          <w:sz w:val="28"/>
          <w:szCs w:val="28"/>
        </w:rPr>
      </w:pPr>
    </w:p>
    <w:p w14:paraId="1989C492" w14:textId="77777777" w:rsidR="007E05F0" w:rsidRPr="00AA7AA3" w:rsidRDefault="007E05F0" w:rsidP="007E05F0">
      <w:pPr>
        <w:rPr>
          <w:rFonts w:cstheme="minorHAnsi"/>
          <w:b/>
          <w:sz w:val="28"/>
          <w:szCs w:val="28"/>
        </w:rPr>
      </w:pPr>
    </w:p>
    <w:p w14:paraId="25B7A5CE" w14:textId="77777777" w:rsidR="00EF7C44" w:rsidRPr="00AA7AA3" w:rsidRDefault="007E05F0" w:rsidP="00D15E3E">
      <w:pPr>
        <w:rPr>
          <w:rFonts w:ascii="Gill Sans MT" w:hAnsi="Gill Sans MT" w:cstheme="minorHAnsi"/>
          <w:b/>
          <w:sz w:val="32"/>
          <w:szCs w:val="32"/>
        </w:rPr>
      </w:pPr>
      <w:r w:rsidRPr="00AA7AA3">
        <w:rPr>
          <w:rFonts w:ascii="Gill Sans MT" w:hAnsi="Gill Sans MT" w:cstheme="minorHAnsi"/>
          <w:b/>
          <w:sz w:val="32"/>
          <w:szCs w:val="32"/>
        </w:rPr>
        <w:t>Australasi</w:t>
      </w:r>
      <w:r w:rsidR="00F23532" w:rsidRPr="00AA7AA3">
        <w:rPr>
          <w:rFonts w:ascii="Gill Sans MT" w:hAnsi="Gill Sans MT" w:cstheme="minorHAnsi"/>
          <w:b/>
          <w:sz w:val="32"/>
          <w:szCs w:val="32"/>
        </w:rPr>
        <w:t>an Evaluation Society Ltd (AES)</w:t>
      </w:r>
    </w:p>
    <w:p w14:paraId="05C0AE31" w14:textId="507CE214" w:rsidR="007E05F0" w:rsidRPr="00AA7AA3" w:rsidRDefault="00EF7C44" w:rsidP="00D15E3E">
      <w:pPr>
        <w:rPr>
          <w:rFonts w:ascii="Gill Sans MT" w:hAnsi="Gill Sans MT" w:cstheme="minorHAnsi"/>
          <w:b/>
          <w:sz w:val="20"/>
          <w:szCs w:val="20"/>
        </w:rPr>
      </w:pPr>
      <w:r w:rsidRPr="00AA7AA3">
        <w:rPr>
          <w:rFonts w:ascii="Gill Sans MT" w:hAnsi="Gill Sans MT" w:cstheme="minorHAnsi"/>
          <w:b/>
          <w:sz w:val="20"/>
          <w:szCs w:val="20"/>
        </w:rPr>
        <w:t>ACN 606 044 624</w:t>
      </w:r>
      <w:r w:rsidR="00F23532" w:rsidRPr="00AA7AA3">
        <w:rPr>
          <w:rFonts w:ascii="Gill Sans MT" w:hAnsi="Gill Sans MT" w:cstheme="minorHAnsi"/>
          <w:b/>
          <w:sz w:val="20"/>
          <w:szCs w:val="20"/>
        </w:rPr>
        <w:t xml:space="preserve"> </w:t>
      </w:r>
    </w:p>
    <w:p w14:paraId="4BE736C9" w14:textId="77777777" w:rsidR="007E05F0" w:rsidRPr="00AA7AA3" w:rsidRDefault="007E05F0" w:rsidP="00D15E3E">
      <w:pPr>
        <w:rPr>
          <w:rFonts w:ascii="Gill Sans MT" w:hAnsi="Gill Sans MT" w:cstheme="minorHAnsi"/>
          <w:b/>
          <w:sz w:val="32"/>
          <w:szCs w:val="32"/>
        </w:rPr>
      </w:pPr>
    </w:p>
    <w:p w14:paraId="657D4B04" w14:textId="77777777" w:rsidR="00AA6510" w:rsidRPr="00AA7AA3" w:rsidRDefault="007E05F0" w:rsidP="005B2F60">
      <w:pPr>
        <w:pStyle w:val="Heading1"/>
        <w:spacing w:before="0" w:after="300" w:line="810" w:lineRule="atLeast"/>
        <w:textAlignment w:val="baseline"/>
        <w:rPr>
          <w:rFonts w:ascii="Gill Sans MT" w:eastAsiaTheme="minorHAnsi" w:hAnsi="Gill Sans MT" w:cstheme="minorHAnsi"/>
          <w:bCs w:val="0"/>
          <w:color w:val="auto"/>
        </w:rPr>
      </w:pPr>
      <w:r w:rsidRPr="00AA7AA3">
        <w:rPr>
          <w:rFonts w:ascii="Gill Sans MT" w:eastAsiaTheme="minorHAnsi" w:hAnsi="Gill Sans MT" w:cstheme="minorHAnsi"/>
          <w:bCs w:val="0"/>
          <w:color w:val="auto"/>
        </w:rPr>
        <w:t xml:space="preserve">Submission </w:t>
      </w:r>
      <w:r w:rsidR="00D9765C" w:rsidRPr="00AA7AA3">
        <w:rPr>
          <w:rFonts w:ascii="Gill Sans MT" w:eastAsiaTheme="minorHAnsi" w:hAnsi="Gill Sans MT" w:cstheme="minorHAnsi"/>
          <w:bCs w:val="0"/>
          <w:color w:val="auto"/>
        </w:rPr>
        <w:t xml:space="preserve">to the </w:t>
      </w:r>
    </w:p>
    <w:p w14:paraId="31AF0EE7" w14:textId="12B3C554" w:rsidR="005B2F60" w:rsidRPr="00AA7AA3" w:rsidRDefault="005B2F60" w:rsidP="005B2F60">
      <w:pPr>
        <w:pStyle w:val="Heading1"/>
        <w:spacing w:before="0" w:after="300" w:line="810" w:lineRule="atLeast"/>
        <w:textAlignment w:val="baseline"/>
        <w:rPr>
          <w:rFonts w:ascii="Gill Sans MT" w:eastAsiaTheme="minorHAnsi" w:hAnsi="Gill Sans MT" w:cstheme="minorHAnsi"/>
          <w:bCs w:val="0"/>
          <w:color w:val="auto"/>
        </w:rPr>
      </w:pPr>
      <w:r w:rsidRPr="00AA7AA3">
        <w:rPr>
          <w:rFonts w:ascii="Gill Sans MT" w:eastAsiaTheme="minorHAnsi" w:hAnsi="Gill Sans MT" w:cstheme="minorHAnsi"/>
          <w:bCs w:val="0"/>
          <w:color w:val="auto"/>
        </w:rPr>
        <w:t>INDEPENDENT REVIEW OF THE AUSTRALIAN PUBLIC SERVICE</w:t>
      </w:r>
    </w:p>
    <w:p w14:paraId="002DA493" w14:textId="6AFAC6F1" w:rsidR="007E05F0" w:rsidRPr="00AA7AA3" w:rsidRDefault="007E05F0" w:rsidP="00D15E3E">
      <w:pPr>
        <w:spacing w:after="0"/>
        <w:rPr>
          <w:rFonts w:ascii="Gill Sans MT" w:hAnsi="Gill Sans MT" w:cstheme="minorHAnsi"/>
          <w:b/>
          <w:sz w:val="32"/>
          <w:szCs w:val="32"/>
        </w:rPr>
      </w:pPr>
    </w:p>
    <w:p w14:paraId="720F4FED" w14:textId="77777777" w:rsidR="007E05F0" w:rsidRPr="00AA7AA3" w:rsidRDefault="007E05F0" w:rsidP="007E05F0">
      <w:pPr>
        <w:rPr>
          <w:rFonts w:ascii="Gill Sans MT" w:hAnsi="Gill Sans MT" w:cstheme="minorHAnsi"/>
          <w:b/>
        </w:rPr>
      </w:pPr>
    </w:p>
    <w:p w14:paraId="507A1D9A" w14:textId="208AC77D" w:rsidR="007E05F0" w:rsidRPr="00AA7AA3" w:rsidRDefault="005B2F60" w:rsidP="007E05F0">
      <w:pPr>
        <w:rPr>
          <w:rFonts w:ascii="Gill Sans MT" w:hAnsi="Gill Sans MT" w:cstheme="minorHAnsi"/>
          <w:b/>
        </w:rPr>
      </w:pPr>
      <w:r w:rsidRPr="00AA7AA3">
        <w:rPr>
          <w:rFonts w:ascii="Gill Sans MT" w:hAnsi="Gill Sans MT" w:cstheme="minorHAnsi"/>
          <w:b/>
        </w:rPr>
        <w:t xml:space="preserve">July </w:t>
      </w:r>
      <w:r w:rsidR="004418AA" w:rsidRPr="00AA7AA3">
        <w:rPr>
          <w:rFonts w:ascii="Gill Sans MT" w:hAnsi="Gill Sans MT" w:cstheme="minorHAnsi"/>
          <w:b/>
        </w:rPr>
        <w:t>201</w:t>
      </w:r>
      <w:r w:rsidRPr="00AA7AA3">
        <w:rPr>
          <w:rFonts w:ascii="Gill Sans MT" w:hAnsi="Gill Sans MT" w:cstheme="minorHAnsi"/>
          <w:b/>
        </w:rPr>
        <w:t>8</w:t>
      </w:r>
    </w:p>
    <w:p w14:paraId="785B481A" w14:textId="77777777" w:rsidR="007E05F0" w:rsidRPr="00AA7AA3" w:rsidRDefault="007E05F0" w:rsidP="009E5D52">
      <w:pPr>
        <w:rPr>
          <w:rFonts w:ascii="Gill Sans MT" w:hAnsi="Gill Sans MT" w:cstheme="minorHAnsi"/>
          <w:b/>
        </w:rPr>
      </w:pPr>
    </w:p>
    <w:p w14:paraId="0A3170E1" w14:textId="77777777" w:rsidR="001C6AA5" w:rsidRPr="00AA7AA3" w:rsidRDefault="001C6AA5">
      <w:pPr>
        <w:rPr>
          <w:rFonts w:ascii="Gill Sans MT" w:hAnsi="Gill Sans MT" w:cstheme="minorHAnsi"/>
          <w:b/>
        </w:rPr>
        <w:sectPr w:rsidR="001C6AA5" w:rsidRPr="00AA7AA3">
          <w:footerReference w:type="default" r:id="rId9"/>
          <w:pgSz w:w="11906" w:h="16838"/>
          <w:pgMar w:top="1440" w:right="1440" w:bottom="1440" w:left="1440" w:header="708" w:footer="708" w:gutter="0"/>
          <w:cols w:space="708"/>
          <w:docGrid w:linePitch="360"/>
        </w:sectPr>
      </w:pPr>
    </w:p>
    <w:p w14:paraId="10CF740D" w14:textId="3A14DD05" w:rsidR="007E05F0" w:rsidRPr="00AA7AA3" w:rsidRDefault="007E05F0" w:rsidP="007E05F0">
      <w:pPr>
        <w:rPr>
          <w:rFonts w:ascii="Gill Sans MT" w:hAnsi="Gill Sans MT" w:cstheme="minorHAnsi"/>
          <w:b/>
          <w:sz w:val="24"/>
          <w:szCs w:val="24"/>
        </w:rPr>
      </w:pPr>
      <w:r w:rsidRPr="00AA7AA3">
        <w:rPr>
          <w:rFonts w:ascii="Gill Sans MT" w:hAnsi="Gill Sans MT" w:cstheme="minorHAnsi"/>
          <w:b/>
          <w:sz w:val="24"/>
          <w:szCs w:val="24"/>
        </w:rPr>
        <w:lastRenderedPageBreak/>
        <w:t>I</w:t>
      </w:r>
      <w:r w:rsidR="009A699C" w:rsidRPr="00AA7AA3">
        <w:rPr>
          <w:rFonts w:ascii="Gill Sans MT" w:hAnsi="Gill Sans MT" w:cstheme="minorHAnsi"/>
          <w:b/>
          <w:sz w:val="24"/>
          <w:szCs w:val="24"/>
        </w:rPr>
        <w:t>NTRODUCTION</w:t>
      </w:r>
    </w:p>
    <w:p w14:paraId="7A895A25" w14:textId="27149BD5" w:rsidR="006A249A" w:rsidRPr="00AA7AA3" w:rsidRDefault="009F66D6" w:rsidP="007E0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rPr>
          <w:rFonts w:ascii="Gill Sans MT" w:hAnsi="Gill Sans MT" w:cstheme="minorHAnsi"/>
          <w:sz w:val="24"/>
          <w:szCs w:val="24"/>
        </w:rPr>
      </w:pPr>
      <w:r w:rsidRPr="00AA7AA3">
        <w:rPr>
          <w:rFonts w:ascii="Gill Sans MT" w:hAnsi="Gill Sans MT" w:cstheme="minorHAnsi"/>
          <w:sz w:val="24"/>
          <w:szCs w:val="24"/>
        </w:rPr>
        <w:t xml:space="preserve">The Australasian Evaluation Society (AES) would like to thank the </w:t>
      </w:r>
      <w:r w:rsidR="004418AA" w:rsidRPr="00AA7AA3">
        <w:rPr>
          <w:rFonts w:ascii="Gill Sans MT" w:hAnsi="Gill Sans MT" w:cstheme="minorHAnsi"/>
          <w:sz w:val="24"/>
          <w:szCs w:val="24"/>
        </w:rPr>
        <w:t xml:space="preserve">Independent Reviewers </w:t>
      </w:r>
      <w:r w:rsidRPr="00AA7AA3">
        <w:rPr>
          <w:rFonts w:ascii="Gill Sans MT" w:hAnsi="Gill Sans MT" w:cstheme="minorHAnsi"/>
          <w:sz w:val="24"/>
          <w:szCs w:val="24"/>
        </w:rPr>
        <w:t xml:space="preserve">for the opportunity to </w:t>
      </w:r>
      <w:r w:rsidR="00484E97" w:rsidRPr="00AA7AA3">
        <w:rPr>
          <w:rFonts w:ascii="Gill Sans MT" w:hAnsi="Gill Sans MT" w:cstheme="minorHAnsi"/>
          <w:sz w:val="24"/>
          <w:szCs w:val="24"/>
        </w:rPr>
        <w:t>make a submission</w:t>
      </w:r>
      <w:r w:rsidRPr="00AA7AA3">
        <w:rPr>
          <w:rFonts w:ascii="Gill Sans MT" w:hAnsi="Gill Sans MT" w:cstheme="minorHAnsi"/>
          <w:sz w:val="24"/>
          <w:szCs w:val="24"/>
        </w:rPr>
        <w:t xml:space="preserve"> </w:t>
      </w:r>
      <w:r w:rsidR="000F4199" w:rsidRPr="00AA7AA3">
        <w:rPr>
          <w:rFonts w:ascii="Gill Sans MT" w:hAnsi="Gill Sans MT" w:cstheme="minorHAnsi"/>
          <w:sz w:val="24"/>
          <w:szCs w:val="24"/>
        </w:rPr>
        <w:t xml:space="preserve">to </w:t>
      </w:r>
      <w:r w:rsidR="005E519D" w:rsidRPr="00AA7AA3">
        <w:rPr>
          <w:rFonts w:ascii="Gill Sans MT" w:hAnsi="Gill Sans MT" w:cstheme="minorHAnsi"/>
          <w:sz w:val="24"/>
          <w:szCs w:val="24"/>
        </w:rPr>
        <w:t xml:space="preserve">the </w:t>
      </w:r>
      <w:r w:rsidR="005B2F60" w:rsidRPr="00AA7AA3">
        <w:rPr>
          <w:rFonts w:ascii="Gill Sans MT" w:hAnsi="Gill Sans MT" w:cstheme="minorHAnsi"/>
          <w:i/>
          <w:sz w:val="24"/>
          <w:szCs w:val="24"/>
        </w:rPr>
        <w:t xml:space="preserve">Independent Review of the Australian Public Service </w:t>
      </w:r>
      <w:r w:rsidR="005B2F60" w:rsidRPr="00AA7AA3">
        <w:rPr>
          <w:rFonts w:ascii="Gill Sans MT" w:hAnsi="Gill Sans MT" w:cstheme="minorHAnsi"/>
          <w:sz w:val="24"/>
          <w:szCs w:val="24"/>
        </w:rPr>
        <w:t>(APS)</w:t>
      </w:r>
      <w:r w:rsidR="000F4199" w:rsidRPr="00AA7AA3">
        <w:rPr>
          <w:rFonts w:ascii="Gill Sans MT" w:hAnsi="Gill Sans MT" w:cstheme="minorHAnsi"/>
          <w:sz w:val="24"/>
          <w:szCs w:val="24"/>
        </w:rPr>
        <w:t>.</w:t>
      </w:r>
    </w:p>
    <w:p w14:paraId="0D1A242C" w14:textId="0DFF4FE2" w:rsidR="00AA6510" w:rsidRPr="00AA7AA3" w:rsidRDefault="0080795B" w:rsidP="009F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rPr>
          <w:rFonts w:ascii="Gill Sans MT" w:hAnsi="Gill Sans MT" w:cstheme="minorHAnsi"/>
          <w:sz w:val="24"/>
          <w:szCs w:val="24"/>
        </w:rPr>
      </w:pPr>
      <w:r w:rsidRPr="00AA7AA3">
        <w:rPr>
          <w:rFonts w:ascii="Gill Sans MT" w:hAnsi="Gill Sans MT" w:cstheme="minorHAnsi"/>
          <w:sz w:val="24"/>
          <w:szCs w:val="24"/>
        </w:rPr>
        <w:t>With around 950 members, the</w:t>
      </w:r>
      <w:r w:rsidR="007E05F0" w:rsidRPr="00AA7AA3">
        <w:rPr>
          <w:rFonts w:ascii="Gill Sans MT" w:hAnsi="Gill Sans MT" w:cstheme="minorHAnsi"/>
          <w:sz w:val="24"/>
          <w:szCs w:val="24"/>
        </w:rPr>
        <w:t xml:space="preserve"> AES </w:t>
      </w:r>
      <w:r w:rsidRPr="00AA7AA3">
        <w:rPr>
          <w:rFonts w:ascii="Gill Sans MT" w:hAnsi="Gill Sans MT" w:cstheme="minorHAnsi"/>
          <w:sz w:val="24"/>
          <w:szCs w:val="24"/>
        </w:rPr>
        <w:t>is an Australasian</w:t>
      </w:r>
      <w:r w:rsidR="007E05F0" w:rsidRPr="00AA7AA3">
        <w:rPr>
          <w:rFonts w:ascii="Gill Sans MT" w:hAnsi="Gill Sans MT" w:cstheme="minorHAnsi"/>
          <w:sz w:val="24"/>
          <w:szCs w:val="24"/>
        </w:rPr>
        <w:t xml:space="preserve"> </w:t>
      </w:r>
      <w:r w:rsidRPr="00AA7AA3">
        <w:rPr>
          <w:rFonts w:ascii="Gill Sans MT" w:hAnsi="Gill Sans MT" w:cstheme="minorHAnsi"/>
          <w:sz w:val="24"/>
          <w:szCs w:val="24"/>
        </w:rPr>
        <w:t>organisation</w:t>
      </w:r>
      <w:r w:rsidR="007E05F0" w:rsidRPr="00AA7AA3">
        <w:rPr>
          <w:rFonts w:ascii="Gill Sans MT" w:hAnsi="Gill Sans MT" w:cstheme="minorHAnsi"/>
          <w:sz w:val="24"/>
          <w:szCs w:val="24"/>
        </w:rPr>
        <w:t xml:space="preserve"> for people involved in evaluation</w:t>
      </w:r>
      <w:r w:rsidRPr="00AA7AA3">
        <w:rPr>
          <w:rFonts w:ascii="Gill Sans MT" w:hAnsi="Gill Sans MT" w:cstheme="minorHAnsi"/>
          <w:sz w:val="24"/>
          <w:szCs w:val="24"/>
        </w:rPr>
        <w:t>,</w:t>
      </w:r>
      <w:r w:rsidR="007E05F0" w:rsidRPr="00AA7AA3">
        <w:rPr>
          <w:rFonts w:ascii="Gill Sans MT" w:hAnsi="Gill Sans MT" w:cstheme="minorHAnsi"/>
          <w:sz w:val="24"/>
          <w:szCs w:val="24"/>
        </w:rPr>
        <w:t xml:space="preserve"> including practitioners, managers,</w:t>
      </w:r>
      <w:r w:rsidR="0083125D" w:rsidRPr="00AA7AA3">
        <w:rPr>
          <w:rFonts w:ascii="Gill Sans MT" w:hAnsi="Gill Sans MT" w:cstheme="minorHAnsi"/>
          <w:sz w:val="24"/>
          <w:szCs w:val="24"/>
        </w:rPr>
        <w:t xml:space="preserve"> commissioners,</w:t>
      </w:r>
      <w:r w:rsidR="007E05F0" w:rsidRPr="00AA7AA3">
        <w:rPr>
          <w:rFonts w:ascii="Gill Sans MT" w:hAnsi="Gill Sans MT" w:cstheme="minorHAnsi"/>
          <w:sz w:val="24"/>
          <w:szCs w:val="24"/>
        </w:rPr>
        <w:t xml:space="preserve"> teachers and students of evaluation, and other interested individuals</w:t>
      </w:r>
      <w:r w:rsidR="004957A1" w:rsidRPr="00AA7AA3">
        <w:rPr>
          <w:rFonts w:ascii="Gill Sans MT" w:hAnsi="Gill Sans MT" w:cstheme="minorHAnsi"/>
          <w:sz w:val="24"/>
          <w:szCs w:val="24"/>
        </w:rPr>
        <w:t xml:space="preserve"> both within and external to the APS</w:t>
      </w:r>
      <w:r w:rsidR="007E05F0" w:rsidRPr="00AA7AA3">
        <w:rPr>
          <w:rFonts w:ascii="Gill Sans MT" w:hAnsi="Gill Sans MT" w:cstheme="minorHAnsi"/>
          <w:sz w:val="24"/>
          <w:szCs w:val="24"/>
        </w:rPr>
        <w:t xml:space="preserve">. </w:t>
      </w:r>
    </w:p>
    <w:p w14:paraId="7F39EB13" w14:textId="54078CC1" w:rsidR="009F66D6" w:rsidRPr="00AA7AA3" w:rsidRDefault="004957A1" w:rsidP="009F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0"/>
        <w:rPr>
          <w:rFonts w:ascii="Gill Sans MT" w:hAnsi="Gill Sans MT" w:cstheme="minorHAnsi"/>
          <w:sz w:val="24"/>
          <w:szCs w:val="24"/>
        </w:rPr>
      </w:pPr>
      <w:r w:rsidRPr="00AA7AA3">
        <w:rPr>
          <w:rFonts w:ascii="Gill Sans MT" w:hAnsi="Gill Sans MT" w:cstheme="minorHAnsi"/>
          <w:sz w:val="24"/>
          <w:szCs w:val="24"/>
        </w:rPr>
        <w:t>It</w:t>
      </w:r>
      <w:r w:rsidR="006936E1" w:rsidRPr="00AA7AA3">
        <w:rPr>
          <w:rFonts w:ascii="Gill Sans MT" w:hAnsi="Gill Sans MT" w:cstheme="minorHAnsi"/>
          <w:sz w:val="24"/>
          <w:szCs w:val="24"/>
        </w:rPr>
        <w:t xml:space="preserve"> aims to improve the theory, practice and the use of evaluation</w:t>
      </w:r>
      <w:r w:rsidRPr="00AA7AA3">
        <w:rPr>
          <w:rFonts w:ascii="Gill Sans MT" w:hAnsi="Gill Sans MT" w:cstheme="minorHAnsi"/>
          <w:sz w:val="24"/>
          <w:szCs w:val="24"/>
        </w:rPr>
        <w:t xml:space="preserve"> </w:t>
      </w:r>
      <w:r w:rsidR="001225ED" w:rsidRPr="00AA7AA3">
        <w:rPr>
          <w:rFonts w:ascii="Gill Sans MT" w:hAnsi="Gill Sans MT" w:cstheme="minorHAnsi"/>
          <w:sz w:val="24"/>
          <w:szCs w:val="24"/>
        </w:rPr>
        <w:t xml:space="preserve">through the provision of </w:t>
      </w:r>
      <w:r w:rsidR="00A62CC0" w:rsidRPr="00AA7AA3">
        <w:rPr>
          <w:rFonts w:ascii="Gill Sans MT" w:hAnsi="Gill Sans MT" w:cstheme="minorHAnsi"/>
          <w:sz w:val="24"/>
          <w:szCs w:val="24"/>
        </w:rPr>
        <w:t>c</w:t>
      </w:r>
      <w:r w:rsidR="001225ED" w:rsidRPr="00AA7AA3">
        <w:rPr>
          <w:rFonts w:ascii="Gill Sans MT" w:hAnsi="Gill Sans MT" w:cstheme="minorHAnsi"/>
          <w:sz w:val="24"/>
          <w:szCs w:val="24"/>
        </w:rPr>
        <w:t xml:space="preserve">onferences, </w:t>
      </w:r>
      <w:r w:rsidR="006D5282" w:rsidRPr="00AA7AA3">
        <w:rPr>
          <w:rFonts w:ascii="Gill Sans MT" w:hAnsi="Gill Sans MT" w:cstheme="minorHAnsi"/>
          <w:sz w:val="24"/>
          <w:szCs w:val="24"/>
        </w:rPr>
        <w:t>professional development workshops</w:t>
      </w:r>
      <w:r w:rsidR="005C2442" w:rsidRPr="00AA7AA3">
        <w:rPr>
          <w:rFonts w:ascii="Gill Sans MT" w:hAnsi="Gill Sans MT" w:cstheme="minorHAnsi"/>
          <w:sz w:val="24"/>
          <w:szCs w:val="24"/>
        </w:rPr>
        <w:t xml:space="preserve"> and seminars</w:t>
      </w:r>
      <w:r w:rsidR="001225ED" w:rsidRPr="00AA7AA3">
        <w:rPr>
          <w:rFonts w:ascii="Gill Sans MT" w:hAnsi="Gill Sans MT" w:cstheme="minorHAnsi"/>
          <w:sz w:val="24"/>
          <w:szCs w:val="24"/>
        </w:rPr>
        <w:t xml:space="preserve">, communities of practice, </w:t>
      </w:r>
      <w:r w:rsidR="008670A0" w:rsidRPr="00AA7AA3">
        <w:rPr>
          <w:rFonts w:ascii="Gill Sans MT" w:hAnsi="Gill Sans MT" w:cstheme="minorHAnsi"/>
          <w:sz w:val="24"/>
          <w:szCs w:val="24"/>
        </w:rPr>
        <w:t>a</w:t>
      </w:r>
      <w:r w:rsidR="001225ED" w:rsidRPr="00AA7AA3">
        <w:rPr>
          <w:rFonts w:ascii="Gill Sans MT" w:hAnsi="Gill Sans MT" w:cstheme="minorHAnsi"/>
          <w:sz w:val="24"/>
          <w:szCs w:val="24"/>
        </w:rPr>
        <w:t xml:space="preserve"> </w:t>
      </w:r>
      <w:r w:rsidR="008670A0" w:rsidRPr="00AA7AA3">
        <w:rPr>
          <w:rFonts w:ascii="Gill Sans MT" w:hAnsi="Gill Sans MT" w:cstheme="minorHAnsi"/>
          <w:i/>
          <w:sz w:val="24"/>
          <w:szCs w:val="24"/>
        </w:rPr>
        <w:t>Code of Ethics</w:t>
      </w:r>
      <w:r w:rsidR="001C6AA5" w:rsidRPr="00AA7AA3">
        <w:rPr>
          <w:rFonts w:ascii="Gill Sans MT" w:hAnsi="Gill Sans MT" w:cstheme="minorHAnsi"/>
          <w:sz w:val="24"/>
          <w:szCs w:val="24"/>
        </w:rPr>
        <w:t>,</w:t>
      </w:r>
      <w:r w:rsidR="008670A0" w:rsidRPr="00AA7AA3">
        <w:rPr>
          <w:rFonts w:ascii="Gill Sans MT" w:hAnsi="Gill Sans MT" w:cstheme="minorHAnsi"/>
          <w:sz w:val="24"/>
          <w:szCs w:val="24"/>
        </w:rPr>
        <w:t xml:space="preserve"> </w:t>
      </w:r>
      <w:r w:rsidR="00AA6510" w:rsidRPr="00AA7AA3">
        <w:rPr>
          <w:rFonts w:ascii="Gill Sans MT" w:hAnsi="Gill Sans MT" w:cstheme="minorHAnsi"/>
          <w:sz w:val="24"/>
          <w:szCs w:val="24"/>
        </w:rPr>
        <w:t xml:space="preserve">the </w:t>
      </w:r>
      <w:r w:rsidR="008670A0" w:rsidRPr="00AA7AA3">
        <w:rPr>
          <w:rFonts w:ascii="Gill Sans MT" w:hAnsi="Gill Sans MT" w:cstheme="minorHAnsi"/>
          <w:i/>
          <w:sz w:val="24"/>
          <w:szCs w:val="24"/>
        </w:rPr>
        <w:t>Guidelines for the Ethical Conduct of Evaluations</w:t>
      </w:r>
      <w:r w:rsidR="00820F9F" w:rsidRPr="00AA7AA3">
        <w:rPr>
          <w:rFonts w:ascii="Gill Sans MT" w:hAnsi="Gill Sans MT" w:cstheme="minorHAnsi"/>
          <w:i/>
          <w:sz w:val="24"/>
          <w:szCs w:val="24"/>
        </w:rPr>
        <w:t>,</w:t>
      </w:r>
      <w:r w:rsidR="001C6AA5" w:rsidRPr="00AA7AA3">
        <w:rPr>
          <w:rFonts w:ascii="Gill Sans MT" w:hAnsi="Gill Sans MT" w:cstheme="minorHAnsi"/>
          <w:sz w:val="24"/>
          <w:szCs w:val="24"/>
        </w:rPr>
        <w:t xml:space="preserve"> </w:t>
      </w:r>
      <w:r w:rsidR="00820F9F" w:rsidRPr="00AA7AA3">
        <w:rPr>
          <w:rFonts w:ascii="Gill Sans MT" w:hAnsi="Gill Sans MT" w:cstheme="minorHAnsi"/>
          <w:sz w:val="24"/>
          <w:szCs w:val="24"/>
        </w:rPr>
        <w:t xml:space="preserve">the </w:t>
      </w:r>
      <w:r w:rsidR="00AA6510" w:rsidRPr="00AA7AA3">
        <w:rPr>
          <w:rFonts w:ascii="Gill Sans MT" w:hAnsi="Gill Sans MT" w:cstheme="minorHAnsi"/>
          <w:i/>
          <w:sz w:val="24"/>
          <w:szCs w:val="24"/>
        </w:rPr>
        <w:t>AES Evaluator’s Professional Learning Competency Framework</w:t>
      </w:r>
      <w:r w:rsidR="00F34170" w:rsidRPr="00AA7AA3">
        <w:rPr>
          <w:rFonts w:ascii="Gill Sans MT" w:hAnsi="Gill Sans MT" w:cstheme="minorHAnsi"/>
          <w:i/>
          <w:sz w:val="24"/>
          <w:szCs w:val="24"/>
        </w:rPr>
        <w:t>,</w:t>
      </w:r>
      <w:r w:rsidR="00820F9F" w:rsidRPr="00AA7AA3">
        <w:rPr>
          <w:rFonts w:ascii="Gill Sans MT" w:hAnsi="Gill Sans MT" w:cstheme="minorHAnsi"/>
          <w:i/>
          <w:sz w:val="24"/>
          <w:szCs w:val="24"/>
        </w:rPr>
        <w:t xml:space="preserve"> </w:t>
      </w:r>
      <w:r w:rsidR="00820F9F" w:rsidRPr="00AA7AA3">
        <w:rPr>
          <w:rFonts w:ascii="Gill Sans MT" w:hAnsi="Gill Sans MT" w:cstheme="minorHAnsi"/>
          <w:sz w:val="24"/>
          <w:szCs w:val="24"/>
        </w:rPr>
        <w:t>and the</w:t>
      </w:r>
      <w:r w:rsidR="00F34170" w:rsidRPr="00AA7AA3">
        <w:rPr>
          <w:rFonts w:ascii="Gill Sans MT" w:hAnsi="Gill Sans MT" w:cstheme="minorHAnsi"/>
          <w:sz w:val="24"/>
          <w:szCs w:val="24"/>
        </w:rPr>
        <w:t xml:space="preserve"> peer-reviewed</w:t>
      </w:r>
      <w:r w:rsidR="00820F9F" w:rsidRPr="00AA7AA3">
        <w:rPr>
          <w:rFonts w:ascii="Gill Sans MT" w:hAnsi="Gill Sans MT" w:cstheme="minorHAnsi"/>
          <w:i/>
          <w:sz w:val="24"/>
          <w:szCs w:val="24"/>
        </w:rPr>
        <w:t xml:space="preserve"> Evaluation Journal of Australasia</w:t>
      </w:r>
      <w:r w:rsidR="00AA6510" w:rsidRPr="00AA7AA3">
        <w:rPr>
          <w:rFonts w:ascii="Gill Sans MT" w:hAnsi="Gill Sans MT" w:cstheme="minorHAnsi"/>
          <w:sz w:val="24"/>
          <w:szCs w:val="24"/>
        </w:rPr>
        <w:t>.</w:t>
      </w:r>
    </w:p>
    <w:p w14:paraId="15E2640F" w14:textId="365A6778" w:rsidR="00D91584" w:rsidRPr="00AA7AA3" w:rsidRDefault="00087E1B" w:rsidP="005B2F60">
      <w:pPr>
        <w:pStyle w:val="ListParagraph"/>
        <w:spacing w:before="120"/>
        <w:ind w:left="0"/>
        <w:rPr>
          <w:rFonts w:ascii="Gill Sans MT" w:hAnsi="Gill Sans MT" w:cstheme="minorHAnsi"/>
          <w:sz w:val="24"/>
          <w:szCs w:val="24"/>
        </w:rPr>
      </w:pPr>
      <w:r w:rsidRPr="00AA7AA3">
        <w:rPr>
          <w:rFonts w:ascii="Gill Sans MT" w:hAnsi="Gill Sans MT" w:cstheme="minorHAnsi"/>
          <w:sz w:val="24"/>
          <w:szCs w:val="24"/>
        </w:rPr>
        <w:t>T</w:t>
      </w:r>
      <w:r w:rsidR="00E76493" w:rsidRPr="00AA7AA3">
        <w:rPr>
          <w:rFonts w:ascii="Gill Sans MT" w:hAnsi="Gill Sans MT" w:cstheme="minorHAnsi"/>
          <w:sz w:val="24"/>
          <w:szCs w:val="24"/>
        </w:rPr>
        <w:t>h</w:t>
      </w:r>
      <w:r w:rsidR="009A699C" w:rsidRPr="00AA7AA3">
        <w:rPr>
          <w:rFonts w:ascii="Gill Sans MT" w:hAnsi="Gill Sans MT" w:cstheme="minorHAnsi"/>
          <w:sz w:val="24"/>
          <w:szCs w:val="24"/>
        </w:rPr>
        <w:t xml:space="preserve">e AES </w:t>
      </w:r>
      <w:r w:rsidR="00E76493" w:rsidRPr="00AA7AA3">
        <w:rPr>
          <w:rFonts w:ascii="Gill Sans MT" w:hAnsi="Gill Sans MT" w:cstheme="minorHAnsi"/>
          <w:sz w:val="24"/>
          <w:szCs w:val="24"/>
        </w:rPr>
        <w:t xml:space="preserve">submission </w:t>
      </w:r>
      <w:r w:rsidRPr="00AA7AA3">
        <w:rPr>
          <w:rFonts w:ascii="Gill Sans MT" w:hAnsi="Gill Sans MT" w:cstheme="minorHAnsi"/>
          <w:sz w:val="24"/>
          <w:szCs w:val="24"/>
        </w:rPr>
        <w:t xml:space="preserve">is offered </w:t>
      </w:r>
      <w:r w:rsidR="00E76493" w:rsidRPr="00AA7AA3">
        <w:rPr>
          <w:rFonts w:ascii="Gill Sans MT" w:hAnsi="Gill Sans MT" w:cstheme="minorHAnsi"/>
          <w:sz w:val="24"/>
          <w:szCs w:val="24"/>
        </w:rPr>
        <w:t>as a formal response from the Board on behalf of AES members</w:t>
      </w:r>
      <w:r w:rsidR="006936E1" w:rsidRPr="00AA7AA3">
        <w:rPr>
          <w:rFonts w:ascii="Gill Sans MT" w:hAnsi="Gill Sans MT" w:cstheme="minorHAnsi"/>
          <w:sz w:val="24"/>
          <w:szCs w:val="24"/>
        </w:rPr>
        <w:t>.</w:t>
      </w:r>
      <w:r w:rsidR="00F470A4" w:rsidRPr="00AA7AA3">
        <w:rPr>
          <w:rFonts w:ascii="Gill Sans MT" w:hAnsi="Gill Sans MT" w:cstheme="minorHAnsi"/>
          <w:sz w:val="24"/>
          <w:szCs w:val="24"/>
        </w:rPr>
        <w:t xml:space="preserve"> If the </w:t>
      </w:r>
      <w:r w:rsidR="00435BF4" w:rsidRPr="00AA7AA3">
        <w:rPr>
          <w:rFonts w:ascii="Gill Sans MT" w:hAnsi="Gill Sans MT" w:cstheme="minorHAnsi"/>
          <w:sz w:val="24"/>
          <w:szCs w:val="24"/>
        </w:rPr>
        <w:t xml:space="preserve">Independent </w:t>
      </w:r>
      <w:r w:rsidR="00DB0CA4" w:rsidRPr="00AA7AA3">
        <w:rPr>
          <w:rFonts w:ascii="Gill Sans MT" w:hAnsi="Gill Sans MT" w:cstheme="minorHAnsi"/>
          <w:sz w:val="24"/>
          <w:szCs w:val="24"/>
        </w:rPr>
        <w:t>Reviewers</w:t>
      </w:r>
      <w:r w:rsidR="00325BBC" w:rsidRPr="00AA7AA3">
        <w:rPr>
          <w:rFonts w:ascii="Gill Sans MT" w:hAnsi="Gill Sans MT" w:cstheme="minorHAnsi"/>
          <w:sz w:val="24"/>
          <w:szCs w:val="24"/>
        </w:rPr>
        <w:t xml:space="preserve"> </w:t>
      </w:r>
      <w:r w:rsidR="00435BF4" w:rsidRPr="00AA7AA3">
        <w:rPr>
          <w:rFonts w:ascii="Gill Sans MT" w:hAnsi="Gill Sans MT" w:cstheme="minorHAnsi"/>
          <w:sz w:val="24"/>
          <w:szCs w:val="24"/>
        </w:rPr>
        <w:t>wish</w:t>
      </w:r>
      <w:r w:rsidR="00F470A4" w:rsidRPr="00AA7AA3">
        <w:rPr>
          <w:rFonts w:ascii="Gill Sans MT" w:hAnsi="Gill Sans MT" w:cstheme="minorHAnsi"/>
          <w:sz w:val="24"/>
          <w:szCs w:val="24"/>
        </w:rPr>
        <w:t xml:space="preserve"> to discuss or inquire about any aspect of this submission, the AES is available to do so</w:t>
      </w:r>
      <w:r w:rsidR="009A699C" w:rsidRPr="00AA7AA3">
        <w:rPr>
          <w:rFonts w:ascii="Gill Sans MT" w:hAnsi="Gill Sans MT" w:cstheme="minorHAnsi"/>
          <w:sz w:val="24"/>
          <w:szCs w:val="24"/>
        </w:rPr>
        <w:t>. P</w:t>
      </w:r>
      <w:r w:rsidR="00F470A4" w:rsidRPr="00AA7AA3">
        <w:rPr>
          <w:rFonts w:ascii="Gill Sans MT" w:hAnsi="Gill Sans MT" w:cstheme="minorHAnsi"/>
          <w:sz w:val="24"/>
          <w:szCs w:val="24"/>
        </w:rPr>
        <w:t xml:space="preserve">lease contact the </w:t>
      </w:r>
      <w:r w:rsidR="00A9107B" w:rsidRPr="00AA7AA3">
        <w:rPr>
          <w:rFonts w:ascii="Gill Sans MT" w:hAnsi="Gill Sans MT" w:cstheme="minorHAnsi"/>
          <w:sz w:val="24"/>
          <w:szCs w:val="24"/>
        </w:rPr>
        <w:t>Bill Wallace,</w:t>
      </w:r>
      <w:r w:rsidR="00F470A4" w:rsidRPr="00AA7AA3">
        <w:rPr>
          <w:rFonts w:ascii="Gill Sans MT" w:hAnsi="Gill Sans MT" w:cstheme="minorHAnsi"/>
          <w:sz w:val="24"/>
          <w:szCs w:val="24"/>
        </w:rPr>
        <w:t xml:space="preserve"> </w:t>
      </w:r>
      <w:r w:rsidR="00F23532" w:rsidRPr="00AA7AA3">
        <w:rPr>
          <w:rFonts w:ascii="Gill Sans MT" w:hAnsi="Gill Sans MT" w:cstheme="minorHAnsi"/>
          <w:sz w:val="24"/>
          <w:szCs w:val="24"/>
        </w:rPr>
        <w:t xml:space="preserve">Chief </w:t>
      </w:r>
      <w:r w:rsidR="00F470A4" w:rsidRPr="00AA7AA3">
        <w:rPr>
          <w:rFonts w:ascii="Gill Sans MT" w:hAnsi="Gill Sans MT" w:cstheme="minorHAnsi"/>
          <w:sz w:val="24"/>
          <w:szCs w:val="24"/>
        </w:rPr>
        <w:t>Executive Officer</w:t>
      </w:r>
      <w:r w:rsidR="00E37214" w:rsidRPr="00AA7AA3">
        <w:rPr>
          <w:rFonts w:ascii="Gill Sans MT" w:hAnsi="Gill Sans MT" w:cstheme="minorHAnsi"/>
          <w:sz w:val="24"/>
          <w:szCs w:val="24"/>
        </w:rPr>
        <w:t>,</w:t>
      </w:r>
      <w:r w:rsidR="00F470A4" w:rsidRPr="00AA7AA3">
        <w:rPr>
          <w:rFonts w:ascii="Gill Sans MT" w:hAnsi="Gill Sans MT" w:cstheme="minorHAnsi"/>
          <w:sz w:val="24"/>
          <w:szCs w:val="24"/>
        </w:rPr>
        <w:t xml:space="preserve"> at </w:t>
      </w:r>
      <w:hyperlink r:id="rId10" w:history="1">
        <w:r w:rsidR="00AA6510" w:rsidRPr="00AA7AA3">
          <w:rPr>
            <w:rStyle w:val="Hyperlink"/>
            <w:rFonts w:ascii="Gill Sans MT" w:hAnsi="Gill Sans MT" w:cstheme="minorHAnsi"/>
            <w:sz w:val="24"/>
            <w:szCs w:val="24"/>
          </w:rPr>
          <w:t>bill.wallace@aes.asn.au</w:t>
        </w:r>
      </w:hyperlink>
      <w:r w:rsidR="00AA6510" w:rsidRPr="00AA7AA3">
        <w:rPr>
          <w:rFonts w:ascii="Gill Sans MT" w:hAnsi="Gill Sans MT" w:cstheme="minorHAnsi"/>
          <w:sz w:val="24"/>
          <w:szCs w:val="24"/>
        </w:rPr>
        <w:t xml:space="preserve">. </w:t>
      </w:r>
    </w:p>
    <w:p w14:paraId="4C77CF33" w14:textId="55AF9E00" w:rsidR="004957A1" w:rsidRPr="00AA7AA3" w:rsidRDefault="004957A1" w:rsidP="009E5D52">
      <w:pPr>
        <w:rPr>
          <w:rFonts w:ascii="Gill Sans MT" w:hAnsi="Gill Sans MT" w:cstheme="minorHAnsi"/>
          <w:sz w:val="24"/>
          <w:szCs w:val="24"/>
        </w:rPr>
      </w:pPr>
    </w:p>
    <w:p w14:paraId="71808095" w14:textId="77777777" w:rsidR="009751D7" w:rsidRPr="00AA7AA3" w:rsidRDefault="009751D7" w:rsidP="009E5D52">
      <w:pPr>
        <w:rPr>
          <w:rFonts w:ascii="Gill Sans MT" w:hAnsi="Gill Sans MT" w:cstheme="minorHAnsi"/>
          <w:sz w:val="24"/>
          <w:szCs w:val="24"/>
        </w:rPr>
      </w:pPr>
    </w:p>
    <w:p w14:paraId="33C92066" w14:textId="77777777" w:rsidR="005B2F60" w:rsidRPr="00AA7AA3" w:rsidRDefault="005B2F60" w:rsidP="009E5D52">
      <w:pPr>
        <w:rPr>
          <w:rFonts w:ascii="Gill Sans MT" w:hAnsi="Gill Sans MT" w:cstheme="minorHAnsi"/>
          <w:sz w:val="24"/>
          <w:szCs w:val="24"/>
        </w:rPr>
      </w:pPr>
    </w:p>
    <w:p w14:paraId="27D91AFE" w14:textId="77777777" w:rsidR="00306F48" w:rsidRPr="00AA7AA3" w:rsidRDefault="00306F48" w:rsidP="009E5D52">
      <w:pPr>
        <w:rPr>
          <w:rFonts w:ascii="Gill Sans MT" w:hAnsi="Gill Sans MT" w:cstheme="minorHAnsi"/>
          <w:sz w:val="24"/>
          <w:szCs w:val="24"/>
        </w:rPr>
      </w:pPr>
    </w:p>
    <w:p w14:paraId="4EED3AD8" w14:textId="77777777" w:rsidR="00306F48" w:rsidRPr="00AA7AA3" w:rsidRDefault="00306F48" w:rsidP="009E5D52">
      <w:pPr>
        <w:rPr>
          <w:rFonts w:ascii="Gill Sans MT" w:hAnsi="Gill Sans MT" w:cstheme="minorHAnsi"/>
          <w:sz w:val="24"/>
          <w:szCs w:val="24"/>
        </w:rPr>
      </w:pPr>
    </w:p>
    <w:p w14:paraId="7DF74FA0" w14:textId="77777777" w:rsidR="00306F48" w:rsidRPr="00AA7AA3" w:rsidRDefault="00306F48" w:rsidP="009E5D52">
      <w:pPr>
        <w:rPr>
          <w:rFonts w:ascii="Gill Sans MT" w:hAnsi="Gill Sans MT" w:cstheme="minorHAnsi"/>
          <w:sz w:val="24"/>
          <w:szCs w:val="24"/>
        </w:rPr>
      </w:pPr>
    </w:p>
    <w:p w14:paraId="13B6A131" w14:textId="77777777" w:rsidR="00306F48" w:rsidRPr="00AA7AA3" w:rsidRDefault="00306F48" w:rsidP="009E5D52">
      <w:pPr>
        <w:rPr>
          <w:rFonts w:ascii="Gill Sans MT" w:hAnsi="Gill Sans MT" w:cstheme="minorHAnsi"/>
          <w:sz w:val="24"/>
          <w:szCs w:val="24"/>
        </w:rPr>
      </w:pPr>
    </w:p>
    <w:p w14:paraId="60529636" w14:textId="77777777" w:rsidR="00306F48" w:rsidRPr="00AA7AA3" w:rsidRDefault="00306F48" w:rsidP="009E5D52">
      <w:pPr>
        <w:rPr>
          <w:rFonts w:ascii="Gill Sans MT" w:hAnsi="Gill Sans MT" w:cstheme="minorHAnsi"/>
          <w:sz w:val="24"/>
          <w:szCs w:val="24"/>
        </w:rPr>
      </w:pPr>
    </w:p>
    <w:p w14:paraId="5B598569" w14:textId="77777777" w:rsidR="00306F48" w:rsidRPr="00AA7AA3" w:rsidRDefault="00306F48" w:rsidP="009E5D52">
      <w:pPr>
        <w:rPr>
          <w:rFonts w:ascii="Gill Sans MT" w:hAnsi="Gill Sans MT" w:cstheme="minorHAnsi"/>
          <w:sz w:val="24"/>
          <w:szCs w:val="24"/>
        </w:rPr>
      </w:pPr>
    </w:p>
    <w:p w14:paraId="71A239C7" w14:textId="217A10A3" w:rsidR="00822F11" w:rsidRPr="00AA7AA3" w:rsidRDefault="00F13E03" w:rsidP="009E5D52">
      <w:pPr>
        <w:rPr>
          <w:rFonts w:ascii="Gill Sans MT" w:hAnsi="Gill Sans MT" w:cstheme="minorHAnsi"/>
          <w:sz w:val="24"/>
          <w:szCs w:val="24"/>
        </w:rPr>
      </w:pPr>
      <w:r w:rsidRPr="00AA7AA3">
        <w:rPr>
          <w:rFonts w:ascii="Gill Sans MT" w:hAnsi="Gill Sans MT" w:cs="Helvetica"/>
          <w:noProof/>
          <w:sz w:val="24"/>
          <w:szCs w:val="24"/>
        </w:rPr>
        <w:drawing>
          <wp:inline distT="0" distB="0" distL="0" distR="0" wp14:anchorId="320946B0" wp14:editId="3EF02890">
            <wp:extent cx="1714500" cy="7239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230" cy="724208"/>
                    </a:xfrm>
                    <a:prstGeom prst="rect">
                      <a:avLst/>
                    </a:prstGeom>
                    <a:noFill/>
                    <a:ln>
                      <a:noFill/>
                    </a:ln>
                  </pic:spPr>
                </pic:pic>
              </a:graphicData>
            </a:graphic>
          </wp:inline>
        </w:drawing>
      </w:r>
    </w:p>
    <w:p w14:paraId="55F7E973" w14:textId="03D86DD9" w:rsidR="006936E1" w:rsidRPr="00AA7AA3" w:rsidRDefault="005B2F60" w:rsidP="005C5A8B">
      <w:pPr>
        <w:spacing w:after="0"/>
        <w:rPr>
          <w:rFonts w:ascii="Gill Sans MT" w:hAnsi="Gill Sans MT" w:cstheme="minorHAnsi"/>
          <w:b/>
          <w:sz w:val="24"/>
          <w:szCs w:val="24"/>
        </w:rPr>
      </w:pPr>
      <w:r w:rsidRPr="00AA7AA3">
        <w:rPr>
          <w:rFonts w:ascii="Gill Sans MT" w:hAnsi="Gill Sans MT" w:cstheme="minorHAnsi"/>
          <w:b/>
          <w:sz w:val="24"/>
          <w:szCs w:val="24"/>
        </w:rPr>
        <w:t>Liz Smith</w:t>
      </w:r>
    </w:p>
    <w:p w14:paraId="22C3BA3E" w14:textId="6977B6BA" w:rsidR="006936E1" w:rsidRPr="00AA7AA3" w:rsidRDefault="005B2F60" w:rsidP="006936E1">
      <w:pPr>
        <w:spacing w:after="0" w:line="240" w:lineRule="auto"/>
        <w:rPr>
          <w:rFonts w:ascii="Gill Sans MT" w:hAnsi="Gill Sans MT" w:cstheme="minorHAnsi"/>
          <w:sz w:val="24"/>
          <w:szCs w:val="24"/>
        </w:rPr>
      </w:pPr>
      <w:r w:rsidRPr="00AA7AA3">
        <w:rPr>
          <w:rFonts w:ascii="Gill Sans MT" w:hAnsi="Gill Sans MT" w:cstheme="minorHAnsi"/>
          <w:sz w:val="24"/>
          <w:szCs w:val="24"/>
        </w:rPr>
        <w:t xml:space="preserve">Vice </w:t>
      </w:r>
      <w:r w:rsidR="006936E1" w:rsidRPr="00AA7AA3">
        <w:rPr>
          <w:rFonts w:ascii="Gill Sans MT" w:hAnsi="Gill Sans MT" w:cstheme="minorHAnsi"/>
          <w:sz w:val="24"/>
          <w:szCs w:val="24"/>
        </w:rPr>
        <w:t>President</w:t>
      </w:r>
    </w:p>
    <w:p w14:paraId="49CCB1B7" w14:textId="13D106D9" w:rsidR="006936E1" w:rsidRPr="00AA7AA3" w:rsidRDefault="006936E1" w:rsidP="006936E1">
      <w:pPr>
        <w:spacing w:after="0" w:line="240" w:lineRule="auto"/>
        <w:rPr>
          <w:rFonts w:ascii="Gill Sans MT" w:hAnsi="Gill Sans MT" w:cstheme="minorHAnsi"/>
          <w:sz w:val="24"/>
          <w:szCs w:val="24"/>
        </w:rPr>
      </w:pPr>
      <w:r w:rsidRPr="00AA7AA3">
        <w:rPr>
          <w:rFonts w:ascii="Gill Sans MT" w:hAnsi="Gill Sans MT" w:cstheme="minorHAnsi"/>
          <w:sz w:val="24"/>
          <w:szCs w:val="24"/>
        </w:rPr>
        <w:t>Australasian Evaluation Society</w:t>
      </w:r>
    </w:p>
    <w:p w14:paraId="60EA07F4" w14:textId="2D4EAA8D" w:rsidR="007E05F0" w:rsidRPr="00AA7AA3" w:rsidRDefault="005B2F60" w:rsidP="005C5A8B">
      <w:pPr>
        <w:spacing w:after="0" w:line="240" w:lineRule="auto"/>
        <w:rPr>
          <w:rFonts w:ascii="Gill Sans MT" w:hAnsi="Gill Sans MT" w:cstheme="minorHAnsi"/>
          <w:sz w:val="24"/>
          <w:szCs w:val="24"/>
        </w:rPr>
      </w:pPr>
      <w:r w:rsidRPr="00AA7AA3">
        <w:rPr>
          <w:rFonts w:ascii="Gill Sans MT" w:hAnsi="Gill Sans MT" w:cstheme="minorHAnsi"/>
          <w:sz w:val="24"/>
          <w:szCs w:val="24"/>
        </w:rPr>
        <w:t>July</w:t>
      </w:r>
      <w:r w:rsidR="006936E1" w:rsidRPr="00AA7AA3">
        <w:rPr>
          <w:rFonts w:ascii="Gill Sans MT" w:hAnsi="Gill Sans MT" w:cstheme="minorHAnsi"/>
          <w:sz w:val="24"/>
          <w:szCs w:val="24"/>
        </w:rPr>
        <w:t xml:space="preserve"> 201</w:t>
      </w:r>
      <w:r w:rsidRPr="00AA7AA3">
        <w:rPr>
          <w:rFonts w:ascii="Gill Sans MT" w:hAnsi="Gill Sans MT" w:cstheme="minorHAnsi"/>
          <w:sz w:val="24"/>
          <w:szCs w:val="24"/>
        </w:rPr>
        <w:t>8</w:t>
      </w:r>
      <w:r w:rsidR="007E05F0" w:rsidRPr="00AA7AA3">
        <w:rPr>
          <w:rFonts w:ascii="Gill Sans MT" w:hAnsi="Gill Sans MT" w:cstheme="minorHAnsi"/>
          <w:b/>
        </w:rPr>
        <w:br w:type="page"/>
      </w:r>
    </w:p>
    <w:p w14:paraId="49A68B14" w14:textId="77777777" w:rsidR="001157FF" w:rsidRPr="00AA7AA3" w:rsidRDefault="001157FF" w:rsidP="00214658">
      <w:pPr>
        <w:rPr>
          <w:rFonts w:ascii="Gill Sans MT" w:hAnsi="Gill Sans MT" w:cstheme="minorHAnsi"/>
          <w:b/>
          <w:sz w:val="24"/>
          <w:szCs w:val="24"/>
        </w:rPr>
      </w:pPr>
      <w:r w:rsidRPr="00AA7AA3">
        <w:rPr>
          <w:rFonts w:ascii="Gill Sans MT" w:hAnsi="Gill Sans MT" w:cstheme="minorHAnsi"/>
          <w:b/>
          <w:sz w:val="24"/>
          <w:szCs w:val="24"/>
        </w:rPr>
        <w:lastRenderedPageBreak/>
        <w:t>EXECUTIVE SUMMARY</w:t>
      </w:r>
    </w:p>
    <w:p w14:paraId="15326392" w14:textId="5B039749" w:rsidR="001157FF" w:rsidRPr="00AA7AA3" w:rsidRDefault="006D3ED2" w:rsidP="00214658">
      <w:pPr>
        <w:rPr>
          <w:rFonts w:ascii="Gill Sans MT" w:hAnsi="Gill Sans MT" w:cstheme="minorHAnsi"/>
          <w:sz w:val="24"/>
          <w:szCs w:val="24"/>
        </w:rPr>
      </w:pPr>
      <w:r w:rsidRPr="00AA7AA3">
        <w:rPr>
          <w:rFonts w:ascii="Gill Sans MT" w:hAnsi="Gill Sans MT" w:cstheme="minorHAnsi"/>
          <w:sz w:val="24"/>
          <w:szCs w:val="24"/>
        </w:rPr>
        <w:t xml:space="preserve">The AES </w:t>
      </w:r>
      <w:r w:rsidR="00D160C5" w:rsidRPr="00AA7AA3">
        <w:rPr>
          <w:rFonts w:ascii="Gill Sans MT" w:hAnsi="Gill Sans MT" w:cstheme="minorHAnsi"/>
          <w:sz w:val="24"/>
          <w:szCs w:val="24"/>
        </w:rPr>
        <w:t>recognises</w:t>
      </w:r>
      <w:r w:rsidRPr="00AA7AA3">
        <w:rPr>
          <w:rFonts w:ascii="Gill Sans MT" w:hAnsi="Gill Sans MT" w:cstheme="minorHAnsi"/>
          <w:sz w:val="24"/>
          <w:szCs w:val="24"/>
        </w:rPr>
        <w:t xml:space="preserve"> that the current context for the Australian Public Service</w:t>
      </w:r>
      <w:r w:rsidR="00750293">
        <w:rPr>
          <w:rFonts w:ascii="Gill Sans MT" w:hAnsi="Gill Sans MT" w:cstheme="minorHAnsi"/>
          <w:sz w:val="24"/>
          <w:szCs w:val="24"/>
        </w:rPr>
        <w:t xml:space="preserve"> (APS)</w:t>
      </w:r>
      <w:r w:rsidRPr="00AA7AA3">
        <w:rPr>
          <w:rFonts w:ascii="Gill Sans MT" w:hAnsi="Gill Sans MT" w:cstheme="minorHAnsi"/>
          <w:sz w:val="24"/>
          <w:szCs w:val="24"/>
        </w:rPr>
        <w:t xml:space="preserve"> is a complex one, bounded by legislation and statutory authorities established by the Parliament, operating in fiscally </w:t>
      </w:r>
      <w:r w:rsidR="00C73145" w:rsidRPr="00AA7AA3">
        <w:rPr>
          <w:rFonts w:ascii="Gill Sans MT" w:hAnsi="Gill Sans MT" w:cstheme="minorHAnsi"/>
          <w:sz w:val="24"/>
          <w:szCs w:val="24"/>
        </w:rPr>
        <w:t>constrained</w:t>
      </w:r>
      <w:r w:rsidRPr="00AA7AA3">
        <w:rPr>
          <w:rFonts w:ascii="Gill Sans MT" w:hAnsi="Gill Sans MT" w:cstheme="minorHAnsi"/>
          <w:sz w:val="24"/>
          <w:szCs w:val="24"/>
        </w:rPr>
        <w:t xml:space="preserve"> times and in an environment where it is tasked to responding to </w:t>
      </w:r>
      <w:r w:rsidR="002533F7" w:rsidRPr="00AA7AA3">
        <w:rPr>
          <w:rFonts w:ascii="Gill Sans MT" w:hAnsi="Gill Sans MT" w:cstheme="minorHAnsi"/>
          <w:sz w:val="24"/>
          <w:szCs w:val="24"/>
        </w:rPr>
        <w:t xml:space="preserve">numerous </w:t>
      </w:r>
      <w:r w:rsidR="00C73145" w:rsidRPr="00AA7AA3">
        <w:rPr>
          <w:rFonts w:ascii="Gill Sans MT" w:hAnsi="Gill Sans MT" w:cstheme="minorHAnsi"/>
          <w:sz w:val="24"/>
          <w:szCs w:val="24"/>
        </w:rPr>
        <w:t xml:space="preserve">and invariably challenging </w:t>
      </w:r>
      <w:r w:rsidR="002533F7" w:rsidRPr="00AA7AA3">
        <w:rPr>
          <w:rFonts w:ascii="Gill Sans MT" w:hAnsi="Gill Sans MT" w:cstheme="minorHAnsi"/>
          <w:sz w:val="24"/>
          <w:szCs w:val="24"/>
        </w:rPr>
        <w:t>global, technological and public policy developments.</w:t>
      </w:r>
    </w:p>
    <w:p w14:paraId="51FAF961" w14:textId="62DCF93B" w:rsidR="002533F7" w:rsidRPr="00AA7AA3" w:rsidRDefault="002533F7" w:rsidP="00214658">
      <w:pPr>
        <w:rPr>
          <w:rFonts w:ascii="Gill Sans MT" w:hAnsi="Gill Sans MT" w:cstheme="minorHAnsi"/>
          <w:sz w:val="24"/>
          <w:szCs w:val="24"/>
        </w:rPr>
      </w:pPr>
      <w:r w:rsidRPr="00AA7AA3">
        <w:rPr>
          <w:rFonts w:ascii="Gill Sans MT" w:hAnsi="Gill Sans MT" w:cstheme="minorHAnsi"/>
          <w:sz w:val="24"/>
          <w:szCs w:val="24"/>
        </w:rPr>
        <w:t xml:space="preserve">A key requirement of the APS is to be </w:t>
      </w:r>
      <w:r w:rsidRPr="00AA7AA3">
        <w:rPr>
          <w:rFonts w:ascii="Gill Sans MT" w:hAnsi="Gill Sans MT" w:cstheme="minorHAnsi"/>
          <w:i/>
          <w:sz w:val="24"/>
          <w:szCs w:val="24"/>
        </w:rPr>
        <w:t>“…efficient and effective in serving the Government, the Parliament and the Australian public.”</w:t>
      </w:r>
      <w:r w:rsidRPr="00AA7AA3">
        <w:rPr>
          <w:rFonts w:ascii="Gill Sans MT" w:hAnsi="Gill Sans MT" w:cstheme="minorHAnsi"/>
          <w:sz w:val="24"/>
          <w:szCs w:val="24"/>
        </w:rPr>
        <w:t xml:space="preserve"> T</w:t>
      </w:r>
      <w:r w:rsidR="006D3ED2" w:rsidRPr="00AA7AA3">
        <w:rPr>
          <w:rFonts w:ascii="Gill Sans MT" w:hAnsi="Gill Sans MT" w:cstheme="minorHAnsi"/>
          <w:sz w:val="24"/>
          <w:szCs w:val="24"/>
        </w:rPr>
        <w:t xml:space="preserve">here are important reforms already underway with the introduction of the </w:t>
      </w:r>
      <w:r w:rsidR="00C73145" w:rsidRPr="00AA7AA3">
        <w:rPr>
          <w:rFonts w:ascii="Gill Sans MT" w:hAnsi="Gill Sans MT" w:cstheme="minorHAnsi"/>
          <w:i/>
          <w:sz w:val="24"/>
          <w:szCs w:val="24"/>
        </w:rPr>
        <w:t>Public Governance Performance Accountability Act 2013</w:t>
      </w:r>
      <w:r w:rsidR="00C73145" w:rsidRPr="00AA7AA3">
        <w:rPr>
          <w:rFonts w:ascii="Gill Sans MT" w:hAnsi="Gill Sans MT" w:cstheme="minorHAnsi"/>
          <w:sz w:val="24"/>
          <w:szCs w:val="24"/>
        </w:rPr>
        <w:t xml:space="preserve"> (</w:t>
      </w:r>
      <w:r w:rsidR="006D3ED2" w:rsidRPr="00AA7AA3">
        <w:rPr>
          <w:rFonts w:ascii="Gill Sans MT" w:hAnsi="Gill Sans MT" w:cstheme="minorHAnsi"/>
          <w:sz w:val="24"/>
          <w:szCs w:val="24"/>
        </w:rPr>
        <w:t>PGPA</w:t>
      </w:r>
      <w:r w:rsidR="00C73145" w:rsidRPr="00AA7AA3">
        <w:rPr>
          <w:rFonts w:ascii="Gill Sans MT" w:hAnsi="Gill Sans MT" w:cstheme="minorHAnsi"/>
          <w:sz w:val="24"/>
          <w:szCs w:val="24"/>
        </w:rPr>
        <w:t>)</w:t>
      </w:r>
      <w:r w:rsidR="006D3ED2" w:rsidRPr="00AA7AA3">
        <w:rPr>
          <w:rFonts w:ascii="Gill Sans MT" w:hAnsi="Gill Sans MT" w:cstheme="minorHAnsi"/>
          <w:sz w:val="24"/>
          <w:szCs w:val="24"/>
        </w:rPr>
        <w:t xml:space="preserve"> </w:t>
      </w:r>
      <w:r w:rsidR="0014268E" w:rsidRPr="00AA7AA3">
        <w:rPr>
          <w:rFonts w:ascii="Gill Sans MT" w:hAnsi="Gill Sans MT" w:cstheme="minorHAnsi"/>
          <w:sz w:val="24"/>
          <w:szCs w:val="24"/>
        </w:rPr>
        <w:t>and</w:t>
      </w:r>
      <w:r w:rsidR="006D3ED2" w:rsidRPr="00AA7AA3">
        <w:rPr>
          <w:rFonts w:ascii="Gill Sans MT" w:hAnsi="Gill Sans MT" w:cstheme="minorHAnsi"/>
          <w:sz w:val="24"/>
          <w:szCs w:val="24"/>
        </w:rPr>
        <w:t xml:space="preserve"> </w:t>
      </w:r>
      <w:r w:rsidR="00C73145" w:rsidRPr="00AA7AA3">
        <w:rPr>
          <w:rFonts w:ascii="Gill Sans MT" w:hAnsi="Gill Sans MT" w:cstheme="minorHAnsi"/>
          <w:sz w:val="24"/>
          <w:szCs w:val="24"/>
        </w:rPr>
        <w:t xml:space="preserve">its associated </w:t>
      </w:r>
      <w:r w:rsidR="0014268E" w:rsidRPr="00AA7AA3">
        <w:rPr>
          <w:rFonts w:ascii="Gill Sans MT" w:hAnsi="Gill Sans MT" w:cstheme="minorHAnsi"/>
          <w:i/>
          <w:sz w:val="24"/>
          <w:szCs w:val="24"/>
        </w:rPr>
        <w:t>E</w:t>
      </w:r>
      <w:r w:rsidR="00C73145" w:rsidRPr="00AA7AA3">
        <w:rPr>
          <w:rFonts w:ascii="Gill Sans MT" w:hAnsi="Gill Sans MT" w:cstheme="minorHAnsi"/>
          <w:i/>
          <w:sz w:val="24"/>
          <w:szCs w:val="24"/>
        </w:rPr>
        <w:t>nhanced Commonwealth Performance Framework</w:t>
      </w:r>
      <w:r w:rsidR="00C73145" w:rsidRPr="00AA7AA3">
        <w:rPr>
          <w:rFonts w:ascii="Gill Sans MT" w:hAnsi="Gill Sans MT" w:cstheme="minorHAnsi"/>
          <w:sz w:val="24"/>
          <w:szCs w:val="24"/>
        </w:rPr>
        <w:t xml:space="preserve"> (</w:t>
      </w:r>
      <w:r w:rsidR="006D3ED2" w:rsidRPr="00AA7AA3">
        <w:rPr>
          <w:rFonts w:ascii="Gill Sans MT" w:hAnsi="Gill Sans MT" w:cstheme="minorHAnsi"/>
          <w:sz w:val="24"/>
          <w:szCs w:val="24"/>
        </w:rPr>
        <w:t>ECPF</w:t>
      </w:r>
      <w:r w:rsidR="00C73145" w:rsidRPr="00AA7AA3">
        <w:rPr>
          <w:rFonts w:ascii="Gill Sans MT" w:hAnsi="Gill Sans MT" w:cstheme="minorHAnsi"/>
          <w:sz w:val="24"/>
          <w:szCs w:val="24"/>
        </w:rPr>
        <w:t>).</w:t>
      </w:r>
      <w:r w:rsidRPr="00AA7AA3">
        <w:rPr>
          <w:rFonts w:ascii="Gill Sans MT" w:hAnsi="Gill Sans MT" w:cstheme="minorHAnsi"/>
          <w:sz w:val="24"/>
          <w:szCs w:val="24"/>
        </w:rPr>
        <w:t xml:space="preserve"> </w:t>
      </w:r>
    </w:p>
    <w:p w14:paraId="0D2C2358" w14:textId="64A0B33C" w:rsidR="002533F7" w:rsidRPr="00AA7AA3" w:rsidRDefault="002533F7" w:rsidP="00214658">
      <w:pPr>
        <w:rPr>
          <w:rFonts w:ascii="Gill Sans MT" w:hAnsi="Gill Sans MT" w:cstheme="minorHAnsi"/>
          <w:sz w:val="24"/>
          <w:szCs w:val="24"/>
        </w:rPr>
      </w:pPr>
      <w:r w:rsidRPr="00AA7AA3">
        <w:rPr>
          <w:rFonts w:ascii="Gill Sans MT" w:hAnsi="Gill Sans MT" w:cstheme="minorHAnsi"/>
          <w:sz w:val="24"/>
          <w:szCs w:val="24"/>
        </w:rPr>
        <w:t xml:space="preserve">The PGPA and ECPF, together with a number of recent and historic inquiries and reviews, have identified evaluation as </w:t>
      </w:r>
      <w:r w:rsidR="00C73145" w:rsidRPr="00AA7AA3">
        <w:rPr>
          <w:rFonts w:ascii="Gill Sans MT" w:hAnsi="Gill Sans MT" w:cstheme="minorHAnsi"/>
          <w:sz w:val="24"/>
          <w:szCs w:val="24"/>
        </w:rPr>
        <w:t>a key activity</w:t>
      </w:r>
      <w:r w:rsidRPr="00AA7AA3">
        <w:rPr>
          <w:rFonts w:ascii="Gill Sans MT" w:hAnsi="Gill Sans MT" w:cstheme="minorHAnsi"/>
          <w:sz w:val="24"/>
          <w:szCs w:val="24"/>
        </w:rPr>
        <w:t xml:space="preserve"> that can enable the APS to </w:t>
      </w:r>
      <w:r w:rsidR="00C73145" w:rsidRPr="00AA7AA3">
        <w:rPr>
          <w:rFonts w:ascii="Gill Sans MT" w:hAnsi="Gill Sans MT" w:cstheme="minorHAnsi"/>
          <w:sz w:val="24"/>
          <w:szCs w:val="24"/>
        </w:rPr>
        <w:t xml:space="preserve">manage or even </w:t>
      </w:r>
      <w:r w:rsidRPr="00AA7AA3">
        <w:rPr>
          <w:rFonts w:ascii="Gill Sans MT" w:hAnsi="Gill Sans MT" w:cstheme="minorHAnsi"/>
          <w:sz w:val="24"/>
          <w:szCs w:val="24"/>
        </w:rPr>
        <w:t>capitalise on these opportunities, improve citizens’ experience of government, and deliver better services.</w:t>
      </w:r>
    </w:p>
    <w:p w14:paraId="655BA369" w14:textId="39C1DA45" w:rsidR="006D3ED2" w:rsidRPr="00AA7AA3" w:rsidRDefault="002533F7" w:rsidP="00214658">
      <w:pPr>
        <w:rPr>
          <w:rFonts w:ascii="Gill Sans MT" w:hAnsi="Gill Sans MT" w:cstheme="minorHAnsi"/>
          <w:sz w:val="24"/>
          <w:szCs w:val="24"/>
        </w:rPr>
      </w:pPr>
      <w:r w:rsidRPr="00AA7AA3">
        <w:rPr>
          <w:rFonts w:ascii="Gill Sans MT" w:hAnsi="Gill Sans MT" w:cstheme="minorHAnsi"/>
          <w:sz w:val="24"/>
          <w:szCs w:val="24"/>
        </w:rPr>
        <w:t>The AES is of the view that</w:t>
      </w:r>
      <w:r w:rsidR="00374E5E" w:rsidRPr="00AA7AA3">
        <w:rPr>
          <w:rFonts w:ascii="Gill Sans MT" w:hAnsi="Gill Sans MT" w:cstheme="minorHAnsi"/>
          <w:sz w:val="24"/>
          <w:szCs w:val="24"/>
        </w:rPr>
        <w:t>:</w:t>
      </w:r>
    </w:p>
    <w:p w14:paraId="001872AC" w14:textId="629A1ECD" w:rsidR="00962009" w:rsidRPr="00AA7AA3" w:rsidRDefault="0014268E" w:rsidP="00214658">
      <w:pPr>
        <w:pStyle w:val="ListParagraph"/>
        <w:numPr>
          <w:ilvl w:val="0"/>
          <w:numId w:val="12"/>
        </w:numPr>
        <w:rPr>
          <w:rFonts w:ascii="Gill Sans MT" w:hAnsi="Gill Sans MT" w:cstheme="minorHAnsi"/>
          <w:sz w:val="24"/>
          <w:szCs w:val="24"/>
        </w:rPr>
      </w:pPr>
      <w:r w:rsidRPr="00AA7AA3">
        <w:rPr>
          <w:rFonts w:ascii="Gill Sans MT" w:hAnsi="Gill Sans MT" w:cstheme="minorHAnsi"/>
          <w:sz w:val="24"/>
          <w:szCs w:val="24"/>
        </w:rPr>
        <w:t xml:space="preserve">these </w:t>
      </w:r>
      <w:r w:rsidR="00962009" w:rsidRPr="00AA7AA3">
        <w:rPr>
          <w:rFonts w:ascii="Gill Sans MT" w:hAnsi="Gill Sans MT" w:cstheme="minorHAnsi"/>
          <w:sz w:val="24"/>
          <w:szCs w:val="24"/>
        </w:rPr>
        <w:t>reforms have the potential for enhancing the capability, culture and operating model of the APS in order for it to meet it</w:t>
      </w:r>
      <w:r w:rsidR="00C73145" w:rsidRPr="00AA7AA3">
        <w:rPr>
          <w:rFonts w:ascii="Gill Sans MT" w:hAnsi="Gill Sans MT" w:cstheme="minorHAnsi"/>
          <w:sz w:val="24"/>
          <w:szCs w:val="24"/>
        </w:rPr>
        <w:t>s mission now and in the future</w:t>
      </w:r>
    </w:p>
    <w:p w14:paraId="0798F167" w14:textId="4D9C8101" w:rsidR="006D3ED2" w:rsidRPr="00AA7AA3" w:rsidRDefault="0014268E" w:rsidP="00214658">
      <w:pPr>
        <w:pStyle w:val="ListParagraph"/>
        <w:numPr>
          <w:ilvl w:val="0"/>
          <w:numId w:val="12"/>
        </w:numPr>
        <w:rPr>
          <w:rFonts w:ascii="Gill Sans MT" w:hAnsi="Gill Sans MT" w:cstheme="minorHAnsi"/>
          <w:sz w:val="24"/>
          <w:szCs w:val="24"/>
        </w:rPr>
      </w:pPr>
      <w:r w:rsidRPr="00AA7AA3">
        <w:rPr>
          <w:rFonts w:ascii="Gill Sans MT" w:hAnsi="Gill Sans MT" w:cstheme="minorHAnsi"/>
          <w:sz w:val="24"/>
          <w:szCs w:val="24"/>
        </w:rPr>
        <w:t xml:space="preserve">their </w:t>
      </w:r>
      <w:r w:rsidR="00962009" w:rsidRPr="00AA7AA3">
        <w:rPr>
          <w:rFonts w:ascii="Gill Sans MT" w:hAnsi="Gill Sans MT" w:cstheme="minorHAnsi"/>
          <w:sz w:val="24"/>
          <w:szCs w:val="24"/>
        </w:rPr>
        <w:t xml:space="preserve">successful medium-to-long term implementation </w:t>
      </w:r>
      <w:r w:rsidR="00264083" w:rsidRPr="00AA7AA3">
        <w:rPr>
          <w:rFonts w:ascii="Gill Sans MT" w:hAnsi="Gill Sans MT" w:cstheme="minorHAnsi"/>
          <w:sz w:val="24"/>
          <w:szCs w:val="24"/>
        </w:rPr>
        <w:t>and embedding</w:t>
      </w:r>
      <w:r w:rsidR="00A535B9" w:rsidRPr="00AA7AA3">
        <w:rPr>
          <w:rFonts w:ascii="Gill Sans MT" w:hAnsi="Gill Sans MT" w:cstheme="minorHAnsi"/>
          <w:sz w:val="24"/>
          <w:szCs w:val="24"/>
        </w:rPr>
        <w:t>—</w:t>
      </w:r>
      <w:r w:rsidR="006D3ED2" w:rsidRPr="00AA7AA3">
        <w:rPr>
          <w:rFonts w:ascii="Gill Sans MT" w:hAnsi="Gill Sans MT" w:cstheme="minorHAnsi"/>
          <w:sz w:val="24"/>
          <w:szCs w:val="24"/>
        </w:rPr>
        <w:t xml:space="preserve">including the effective conduct and use of evaluation by </w:t>
      </w:r>
      <w:r w:rsidR="00962009" w:rsidRPr="00AA7AA3">
        <w:rPr>
          <w:rFonts w:ascii="Gill Sans MT" w:hAnsi="Gill Sans MT" w:cstheme="minorHAnsi"/>
          <w:sz w:val="24"/>
          <w:szCs w:val="24"/>
        </w:rPr>
        <w:t xml:space="preserve">and within </w:t>
      </w:r>
      <w:r w:rsidR="006D3ED2" w:rsidRPr="00AA7AA3">
        <w:rPr>
          <w:rFonts w:ascii="Gill Sans MT" w:hAnsi="Gill Sans MT" w:cstheme="minorHAnsi"/>
          <w:sz w:val="24"/>
          <w:szCs w:val="24"/>
        </w:rPr>
        <w:t>the APS</w:t>
      </w:r>
      <w:r w:rsidR="00A535B9" w:rsidRPr="00AA7AA3">
        <w:rPr>
          <w:rFonts w:ascii="Gill Sans MT" w:hAnsi="Gill Sans MT" w:cstheme="minorHAnsi"/>
          <w:sz w:val="24"/>
          <w:szCs w:val="24"/>
        </w:rPr>
        <w:t>—</w:t>
      </w:r>
      <w:r w:rsidR="006D3ED2" w:rsidRPr="00AA7AA3">
        <w:rPr>
          <w:rFonts w:ascii="Gill Sans MT" w:hAnsi="Gill Sans MT" w:cstheme="minorHAnsi"/>
          <w:sz w:val="24"/>
          <w:szCs w:val="24"/>
        </w:rPr>
        <w:t>face challenges due to capability and capacity issues</w:t>
      </w:r>
    </w:p>
    <w:p w14:paraId="1171B25F" w14:textId="7D1B0B53" w:rsidR="006D3ED2" w:rsidRPr="00AA7AA3" w:rsidRDefault="0014268E" w:rsidP="00214658">
      <w:pPr>
        <w:pStyle w:val="ListParagraph"/>
        <w:numPr>
          <w:ilvl w:val="0"/>
          <w:numId w:val="12"/>
        </w:numPr>
        <w:rPr>
          <w:rFonts w:ascii="Gill Sans MT" w:hAnsi="Gill Sans MT" w:cstheme="minorHAnsi"/>
          <w:sz w:val="24"/>
          <w:szCs w:val="24"/>
        </w:rPr>
      </w:pPr>
      <w:r w:rsidRPr="00AA7AA3">
        <w:rPr>
          <w:rFonts w:ascii="Gill Sans MT" w:hAnsi="Gill Sans MT" w:cstheme="minorHAnsi"/>
          <w:sz w:val="24"/>
          <w:szCs w:val="24"/>
        </w:rPr>
        <w:t xml:space="preserve">these </w:t>
      </w:r>
      <w:r w:rsidR="006D3ED2" w:rsidRPr="00AA7AA3">
        <w:rPr>
          <w:rFonts w:ascii="Gill Sans MT" w:hAnsi="Gill Sans MT" w:cstheme="minorHAnsi"/>
          <w:sz w:val="24"/>
          <w:szCs w:val="24"/>
        </w:rPr>
        <w:t xml:space="preserve">risk the Commonwealth not realising value for money in terms of </w:t>
      </w:r>
      <w:r w:rsidR="00962009" w:rsidRPr="00AA7AA3">
        <w:rPr>
          <w:rFonts w:ascii="Gill Sans MT" w:hAnsi="Gill Sans MT" w:cstheme="minorHAnsi"/>
          <w:sz w:val="24"/>
          <w:szCs w:val="24"/>
        </w:rPr>
        <w:t xml:space="preserve">the </w:t>
      </w:r>
      <w:r w:rsidR="007D6A4E" w:rsidRPr="00AA7AA3">
        <w:rPr>
          <w:rFonts w:ascii="Gill Sans MT" w:hAnsi="Gill Sans MT" w:cstheme="minorHAnsi"/>
          <w:sz w:val="24"/>
          <w:szCs w:val="24"/>
        </w:rPr>
        <w:t xml:space="preserve">current </w:t>
      </w:r>
      <w:r w:rsidR="00962009" w:rsidRPr="00AA7AA3">
        <w:rPr>
          <w:rFonts w:ascii="Gill Sans MT" w:hAnsi="Gill Sans MT" w:cstheme="minorHAnsi"/>
          <w:sz w:val="24"/>
          <w:szCs w:val="24"/>
        </w:rPr>
        <w:t>investment in e</w:t>
      </w:r>
      <w:r w:rsidR="006D3ED2" w:rsidRPr="00AA7AA3">
        <w:rPr>
          <w:rFonts w:ascii="Gill Sans MT" w:hAnsi="Gill Sans MT" w:cstheme="minorHAnsi"/>
          <w:sz w:val="24"/>
          <w:szCs w:val="24"/>
        </w:rPr>
        <w:t>valuation</w:t>
      </w:r>
      <w:r w:rsidR="00962009" w:rsidRPr="00AA7AA3">
        <w:rPr>
          <w:rFonts w:ascii="Gill Sans MT" w:hAnsi="Gill Sans MT" w:cstheme="minorHAnsi"/>
          <w:sz w:val="24"/>
          <w:szCs w:val="24"/>
        </w:rPr>
        <w:t>, or could be going forward</w:t>
      </w:r>
    </w:p>
    <w:p w14:paraId="4C15B67C" w14:textId="37909609" w:rsidR="00304D5F" w:rsidRPr="00AA7AA3" w:rsidRDefault="00AB2B0B" w:rsidP="00214658">
      <w:pPr>
        <w:pStyle w:val="ListParagraph"/>
        <w:numPr>
          <w:ilvl w:val="0"/>
          <w:numId w:val="12"/>
        </w:numPr>
        <w:rPr>
          <w:rFonts w:ascii="Gill Sans MT" w:hAnsi="Gill Sans MT" w:cstheme="minorHAnsi"/>
          <w:sz w:val="24"/>
          <w:szCs w:val="24"/>
        </w:rPr>
      </w:pPr>
      <w:r w:rsidRPr="00AA7AA3">
        <w:rPr>
          <w:rFonts w:ascii="Gill Sans MT" w:hAnsi="Gill Sans MT" w:cstheme="minorHAnsi"/>
          <w:sz w:val="24"/>
          <w:szCs w:val="24"/>
        </w:rPr>
        <w:t xml:space="preserve">recent </w:t>
      </w:r>
      <w:r w:rsidR="0014268E" w:rsidRPr="00AA7AA3">
        <w:rPr>
          <w:rFonts w:ascii="Gill Sans MT" w:hAnsi="Gill Sans MT" w:cstheme="minorHAnsi"/>
          <w:sz w:val="24"/>
          <w:szCs w:val="24"/>
        </w:rPr>
        <w:t xml:space="preserve">findings </w:t>
      </w:r>
      <w:r w:rsidR="00304D5F" w:rsidRPr="00AA7AA3">
        <w:rPr>
          <w:rFonts w:ascii="Gill Sans MT" w:hAnsi="Gill Sans MT" w:cstheme="minorHAnsi"/>
          <w:sz w:val="24"/>
          <w:szCs w:val="24"/>
        </w:rPr>
        <w:t xml:space="preserve">from Commissions and Inquiries that more evaluations should be undertaken by </w:t>
      </w:r>
      <w:r w:rsidR="00C11B90" w:rsidRPr="00AA7AA3">
        <w:rPr>
          <w:rFonts w:ascii="Gill Sans MT" w:hAnsi="Gill Sans MT" w:cstheme="minorHAnsi"/>
          <w:sz w:val="24"/>
          <w:szCs w:val="24"/>
        </w:rPr>
        <w:t xml:space="preserve">the </w:t>
      </w:r>
      <w:r w:rsidR="00304D5F" w:rsidRPr="00AA7AA3">
        <w:rPr>
          <w:rFonts w:ascii="Gill Sans MT" w:hAnsi="Gill Sans MT" w:cstheme="minorHAnsi"/>
          <w:sz w:val="24"/>
          <w:szCs w:val="24"/>
        </w:rPr>
        <w:t xml:space="preserve">Australian Government have a basis in </w:t>
      </w:r>
      <w:r w:rsidR="00CF6B71" w:rsidRPr="00AA7AA3">
        <w:rPr>
          <w:rFonts w:ascii="Gill Sans MT" w:hAnsi="Gill Sans MT" w:cstheme="minorHAnsi"/>
          <w:sz w:val="24"/>
          <w:szCs w:val="24"/>
        </w:rPr>
        <w:t xml:space="preserve">evidence </w:t>
      </w:r>
      <w:r w:rsidR="00304D5F" w:rsidRPr="00AA7AA3">
        <w:rPr>
          <w:rFonts w:ascii="Gill Sans MT" w:hAnsi="Gill Sans MT" w:cstheme="minorHAnsi"/>
          <w:sz w:val="24"/>
          <w:szCs w:val="24"/>
        </w:rPr>
        <w:t>and should be seriously considered.</w:t>
      </w:r>
    </w:p>
    <w:p w14:paraId="5F7B999D" w14:textId="46853E74" w:rsidR="00962009" w:rsidRPr="00AA7AA3" w:rsidRDefault="0081199A" w:rsidP="00214658">
      <w:pPr>
        <w:rPr>
          <w:rFonts w:ascii="Gill Sans MT" w:hAnsi="Gill Sans MT" w:cstheme="minorHAnsi"/>
          <w:sz w:val="24"/>
          <w:szCs w:val="24"/>
        </w:rPr>
      </w:pPr>
      <w:r w:rsidRPr="00AA7AA3">
        <w:rPr>
          <w:rFonts w:ascii="Gill Sans MT" w:hAnsi="Gill Sans MT" w:cstheme="minorHAnsi"/>
          <w:sz w:val="24"/>
          <w:szCs w:val="24"/>
        </w:rPr>
        <w:t xml:space="preserve">The APS is facing different challenges and (inter)national priorities in the future. This Review should consider options for developing appropriate organisational infrastructure and support systems for evaluation and policy evidence </w:t>
      </w:r>
      <w:r w:rsidR="00D03C8E" w:rsidRPr="00AA7AA3">
        <w:rPr>
          <w:rFonts w:ascii="Gill Sans MT" w:hAnsi="Gill Sans MT" w:cstheme="minorHAnsi"/>
          <w:sz w:val="24"/>
          <w:szCs w:val="24"/>
        </w:rPr>
        <w:t>which</w:t>
      </w:r>
      <w:r w:rsidRPr="00AA7AA3">
        <w:rPr>
          <w:rFonts w:ascii="Gill Sans MT" w:hAnsi="Gill Sans MT" w:cstheme="minorHAnsi"/>
          <w:sz w:val="24"/>
          <w:szCs w:val="24"/>
        </w:rPr>
        <w:t xml:space="preserve"> is capable of informing policy decision-making and showing </w:t>
      </w:r>
      <w:r w:rsidR="00FA6F8A" w:rsidRPr="00AA7AA3">
        <w:rPr>
          <w:rFonts w:ascii="Gill Sans MT" w:hAnsi="Gill Sans MT" w:cstheme="minorHAnsi"/>
          <w:sz w:val="24"/>
          <w:szCs w:val="24"/>
        </w:rPr>
        <w:t>the</w:t>
      </w:r>
      <w:r w:rsidRPr="00AA7AA3">
        <w:rPr>
          <w:rFonts w:ascii="Gill Sans MT" w:hAnsi="Gill Sans MT" w:cstheme="minorHAnsi"/>
          <w:sz w:val="24"/>
          <w:szCs w:val="24"/>
        </w:rPr>
        <w:t xml:space="preserve"> effective</w:t>
      </w:r>
      <w:r w:rsidR="00FA6F8A" w:rsidRPr="00AA7AA3">
        <w:rPr>
          <w:rFonts w:ascii="Gill Sans MT" w:hAnsi="Gill Sans MT" w:cstheme="minorHAnsi"/>
          <w:sz w:val="24"/>
          <w:szCs w:val="24"/>
        </w:rPr>
        <w:t>ness of</w:t>
      </w:r>
      <w:r w:rsidRPr="00AA7AA3">
        <w:rPr>
          <w:rFonts w:ascii="Gill Sans MT" w:hAnsi="Gill Sans MT" w:cstheme="minorHAnsi"/>
          <w:sz w:val="24"/>
          <w:szCs w:val="24"/>
        </w:rPr>
        <w:t xml:space="preserve"> the APS in meeting these challenges. These could include:</w:t>
      </w:r>
    </w:p>
    <w:p w14:paraId="3F34730A" w14:textId="3E924858" w:rsidR="00962009" w:rsidRPr="00AA7AA3" w:rsidRDefault="00962009" w:rsidP="00214658">
      <w:pPr>
        <w:pStyle w:val="ListParagraph"/>
        <w:numPr>
          <w:ilvl w:val="0"/>
          <w:numId w:val="13"/>
        </w:numPr>
        <w:rPr>
          <w:rFonts w:ascii="Gill Sans MT" w:hAnsi="Gill Sans MT" w:cstheme="minorHAnsi"/>
          <w:sz w:val="24"/>
          <w:szCs w:val="24"/>
        </w:rPr>
      </w:pPr>
      <w:r w:rsidRPr="00AA7AA3">
        <w:rPr>
          <w:rFonts w:ascii="Gill Sans MT" w:hAnsi="Gill Sans MT" w:cstheme="minorHAnsi"/>
          <w:sz w:val="24"/>
          <w:szCs w:val="24"/>
        </w:rPr>
        <w:t xml:space="preserve">investment in better systems to support the administration of policy and programs, </w:t>
      </w:r>
      <w:r w:rsidR="003C1E55" w:rsidRPr="00AA7AA3">
        <w:rPr>
          <w:rFonts w:ascii="Gill Sans MT" w:hAnsi="Gill Sans MT" w:cstheme="minorHAnsi"/>
          <w:sz w:val="24"/>
          <w:szCs w:val="24"/>
        </w:rPr>
        <w:t>including</w:t>
      </w:r>
      <w:r w:rsidRPr="00AA7AA3">
        <w:rPr>
          <w:rFonts w:ascii="Gill Sans MT" w:hAnsi="Gill Sans MT" w:cstheme="minorHAnsi"/>
          <w:sz w:val="24"/>
          <w:szCs w:val="24"/>
        </w:rPr>
        <w:t xml:space="preserve"> the collection of relevant and reliable data to support APS staff</w:t>
      </w:r>
    </w:p>
    <w:p w14:paraId="3F0F855A" w14:textId="05E0235B" w:rsidR="00962009" w:rsidRPr="00AA7AA3" w:rsidRDefault="00962009" w:rsidP="00214658">
      <w:pPr>
        <w:pStyle w:val="ListParagraph"/>
        <w:numPr>
          <w:ilvl w:val="0"/>
          <w:numId w:val="13"/>
        </w:numPr>
        <w:rPr>
          <w:rFonts w:ascii="Gill Sans MT" w:hAnsi="Gill Sans MT" w:cstheme="minorHAnsi"/>
          <w:sz w:val="24"/>
          <w:szCs w:val="24"/>
        </w:rPr>
      </w:pPr>
      <w:r w:rsidRPr="00AA7AA3">
        <w:rPr>
          <w:rFonts w:ascii="Gill Sans MT" w:hAnsi="Gill Sans MT" w:cstheme="minorHAnsi"/>
          <w:sz w:val="24"/>
          <w:szCs w:val="24"/>
        </w:rPr>
        <w:t>increase the levels of evidentiary (including research, evaluation</w:t>
      </w:r>
      <w:r w:rsidR="000A2657" w:rsidRPr="00AA7AA3">
        <w:rPr>
          <w:rFonts w:ascii="Gill Sans MT" w:hAnsi="Gill Sans MT" w:cstheme="minorHAnsi"/>
          <w:sz w:val="24"/>
          <w:szCs w:val="24"/>
        </w:rPr>
        <w:t>,</w:t>
      </w:r>
      <w:r w:rsidRPr="00AA7AA3">
        <w:rPr>
          <w:rFonts w:ascii="Gill Sans MT" w:hAnsi="Gill Sans MT" w:cstheme="minorHAnsi"/>
          <w:sz w:val="24"/>
          <w:szCs w:val="24"/>
        </w:rPr>
        <w:t xml:space="preserve"> and data) and performance literacy amongst APS staff</w:t>
      </w:r>
      <w:r w:rsidR="000A2657" w:rsidRPr="00AA7AA3">
        <w:rPr>
          <w:rFonts w:ascii="Gill Sans MT" w:hAnsi="Gill Sans MT" w:cstheme="minorHAnsi"/>
          <w:sz w:val="24"/>
          <w:szCs w:val="24"/>
        </w:rPr>
        <w:t xml:space="preserve">, </w:t>
      </w:r>
      <w:r w:rsidR="00C73145" w:rsidRPr="00AA7AA3">
        <w:rPr>
          <w:rFonts w:ascii="Gill Sans MT" w:hAnsi="Gill Sans MT" w:cstheme="minorHAnsi"/>
          <w:sz w:val="24"/>
          <w:szCs w:val="24"/>
        </w:rPr>
        <w:t xml:space="preserve">and </w:t>
      </w:r>
      <w:r w:rsidRPr="00AA7AA3">
        <w:rPr>
          <w:rFonts w:ascii="Gill Sans MT" w:hAnsi="Gill Sans MT" w:cstheme="minorHAnsi"/>
          <w:sz w:val="24"/>
          <w:szCs w:val="24"/>
        </w:rPr>
        <w:t xml:space="preserve">having sufficient numbers </w:t>
      </w:r>
      <w:r w:rsidR="00A64D89" w:rsidRPr="00AA7AA3">
        <w:rPr>
          <w:rFonts w:ascii="Gill Sans MT" w:hAnsi="Gill Sans MT" w:cstheme="minorHAnsi"/>
          <w:sz w:val="24"/>
          <w:szCs w:val="24"/>
        </w:rPr>
        <w:t xml:space="preserve">of </w:t>
      </w:r>
      <w:r w:rsidRPr="00AA7AA3">
        <w:rPr>
          <w:rFonts w:ascii="Gill Sans MT" w:hAnsi="Gill Sans MT" w:cstheme="minorHAnsi"/>
          <w:sz w:val="24"/>
          <w:szCs w:val="24"/>
        </w:rPr>
        <w:t xml:space="preserve">staff with </w:t>
      </w:r>
      <w:r w:rsidR="00C73145" w:rsidRPr="00AA7AA3">
        <w:rPr>
          <w:rFonts w:ascii="Gill Sans MT" w:hAnsi="Gill Sans MT" w:cstheme="minorHAnsi"/>
          <w:sz w:val="24"/>
          <w:szCs w:val="24"/>
        </w:rPr>
        <w:t xml:space="preserve">specialist technical </w:t>
      </w:r>
      <w:r w:rsidRPr="00AA7AA3">
        <w:rPr>
          <w:rFonts w:ascii="Gill Sans MT" w:hAnsi="Gill Sans MT" w:cstheme="minorHAnsi"/>
          <w:sz w:val="24"/>
          <w:szCs w:val="24"/>
        </w:rPr>
        <w:t xml:space="preserve">expertise </w:t>
      </w:r>
      <w:r w:rsidR="00C73145" w:rsidRPr="00AA7AA3">
        <w:rPr>
          <w:rFonts w:ascii="Gill Sans MT" w:hAnsi="Gill Sans MT" w:cstheme="minorHAnsi"/>
          <w:sz w:val="24"/>
          <w:szCs w:val="24"/>
        </w:rPr>
        <w:t>in data, research, and evaluation</w:t>
      </w:r>
    </w:p>
    <w:p w14:paraId="51D49198" w14:textId="1749DF29" w:rsidR="006D3ED2" w:rsidRPr="00AA7AA3" w:rsidRDefault="00962009" w:rsidP="00214658">
      <w:pPr>
        <w:pStyle w:val="ListParagraph"/>
        <w:numPr>
          <w:ilvl w:val="0"/>
          <w:numId w:val="13"/>
        </w:numPr>
        <w:rPr>
          <w:rFonts w:ascii="Gill Sans MT" w:hAnsi="Gill Sans MT" w:cstheme="minorHAnsi"/>
          <w:sz w:val="24"/>
          <w:szCs w:val="24"/>
        </w:rPr>
      </w:pPr>
      <w:r w:rsidRPr="00AA7AA3">
        <w:rPr>
          <w:rFonts w:ascii="Gill Sans MT" w:hAnsi="Gill Sans MT" w:cstheme="minorHAnsi"/>
          <w:sz w:val="24"/>
          <w:szCs w:val="24"/>
        </w:rPr>
        <w:t xml:space="preserve">encourage a culture of performance management, including incentives for managers to engage with risk, innovate and </w:t>
      </w:r>
      <w:r w:rsidR="003C1E55" w:rsidRPr="00AA7AA3">
        <w:rPr>
          <w:rFonts w:ascii="Gill Sans MT" w:hAnsi="Gill Sans MT" w:cstheme="minorHAnsi"/>
          <w:sz w:val="24"/>
          <w:szCs w:val="24"/>
        </w:rPr>
        <w:t>the potential</w:t>
      </w:r>
      <w:r w:rsidRPr="00AA7AA3">
        <w:rPr>
          <w:rFonts w:ascii="Gill Sans MT" w:hAnsi="Gill Sans MT" w:cstheme="minorHAnsi"/>
          <w:sz w:val="24"/>
          <w:szCs w:val="24"/>
        </w:rPr>
        <w:t xml:space="preserve"> ‘to fail’</w:t>
      </w:r>
    </w:p>
    <w:p w14:paraId="51A1DCF5" w14:textId="1DC60DD5" w:rsidR="001157FF" w:rsidRPr="00AA7AA3" w:rsidRDefault="00B34569" w:rsidP="00214658">
      <w:pPr>
        <w:pStyle w:val="ListParagraph"/>
        <w:numPr>
          <w:ilvl w:val="0"/>
          <w:numId w:val="13"/>
        </w:numPr>
        <w:rPr>
          <w:rFonts w:ascii="Gill Sans MT" w:hAnsi="Gill Sans MT" w:cstheme="minorHAnsi"/>
          <w:sz w:val="24"/>
          <w:szCs w:val="24"/>
        </w:rPr>
      </w:pPr>
      <w:r w:rsidRPr="00AA7AA3">
        <w:rPr>
          <w:rFonts w:ascii="Gill Sans MT" w:hAnsi="Gill Sans MT" w:cstheme="minorHAnsi"/>
          <w:sz w:val="24"/>
          <w:szCs w:val="24"/>
        </w:rPr>
        <w:t>i</w:t>
      </w:r>
      <w:r w:rsidR="00962009" w:rsidRPr="00AA7AA3">
        <w:rPr>
          <w:rFonts w:ascii="Gill Sans MT" w:hAnsi="Gill Sans MT" w:cstheme="minorHAnsi"/>
          <w:sz w:val="24"/>
          <w:szCs w:val="24"/>
        </w:rPr>
        <w:t xml:space="preserve">nstitutional </w:t>
      </w:r>
      <w:r w:rsidR="0011785F" w:rsidRPr="00AA7AA3">
        <w:rPr>
          <w:rFonts w:ascii="Gill Sans MT" w:hAnsi="Gill Sans MT" w:cstheme="minorHAnsi"/>
          <w:sz w:val="24"/>
          <w:szCs w:val="24"/>
        </w:rPr>
        <w:t>infrastructure</w:t>
      </w:r>
      <w:r w:rsidR="00962009" w:rsidRPr="00AA7AA3">
        <w:rPr>
          <w:rFonts w:ascii="Gill Sans MT" w:hAnsi="Gill Sans MT" w:cstheme="minorHAnsi"/>
          <w:sz w:val="24"/>
          <w:szCs w:val="24"/>
        </w:rPr>
        <w:t xml:space="preserve"> such as the establishment of an Evaluator-General, and having a Chief Evaluat</w:t>
      </w:r>
      <w:r w:rsidR="0014268E" w:rsidRPr="00AA7AA3">
        <w:rPr>
          <w:rFonts w:ascii="Gill Sans MT" w:hAnsi="Gill Sans MT" w:cstheme="minorHAnsi"/>
          <w:sz w:val="24"/>
          <w:szCs w:val="24"/>
        </w:rPr>
        <w:t>or</w:t>
      </w:r>
      <w:r w:rsidR="00962009" w:rsidRPr="00AA7AA3">
        <w:rPr>
          <w:rFonts w:ascii="Gill Sans MT" w:hAnsi="Gill Sans MT" w:cstheme="minorHAnsi"/>
          <w:sz w:val="24"/>
          <w:szCs w:val="24"/>
        </w:rPr>
        <w:t xml:space="preserve"> at SES level appointed in each agency</w:t>
      </w:r>
      <w:r w:rsidR="0014268E" w:rsidRPr="00AA7AA3">
        <w:rPr>
          <w:rFonts w:ascii="Gill Sans MT" w:hAnsi="Gill Sans MT" w:cstheme="minorHAnsi"/>
          <w:sz w:val="24"/>
          <w:szCs w:val="24"/>
        </w:rPr>
        <w:t>.</w:t>
      </w:r>
      <w:r w:rsidR="00FF3D89" w:rsidRPr="00AA7AA3">
        <w:rPr>
          <w:rFonts w:ascii="Gill Sans MT" w:hAnsi="Gill Sans MT" w:cstheme="minorHAnsi"/>
          <w:sz w:val="24"/>
          <w:szCs w:val="24"/>
        </w:rPr>
        <w:br w:type="page"/>
      </w:r>
    </w:p>
    <w:p w14:paraId="439FD07E" w14:textId="7CB53DCC" w:rsidR="00503D80" w:rsidRPr="00AA7AA3" w:rsidRDefault="005E519D" w:rsidP="00214658">
      <w:pPr>
        <w:rPr>
          <w:rFonts w:ascii="Gill Sans MT" w:hAnsi="Gill Sans MT" w:cstheme="minorHAnsi"/>
          <w:b/>
          <w:sz w:val="24"/>
          <w:szCs w:val="24"/>
        </w:rPr>
      </w:pPr>
      <w:r w:rsidRPr="00AA7AA3">
        <w:rPr>
          <w:rFonts w:ascii="Gill Sans MT" w:hAnsi="Gill Sans MT" w:cstheme="minorHAnsi"/>
          <w:b/>
          <w:sz w:val="24"/>
          <w:szCs w:val="24"/>
        </w:rPr>
        <w:lastRenderedPageBreak/>
        <w:t>OVERVIEW</w:t>
      </w:r>
    </w:p>
    <w:p w14:paraId="274E19CA" w14:textId="6E832A76" w:rsidR="00104033" w:rsidRPr="00AA7AA3" w:rsidRDefault="00104033" w:rsidP="00214658">
      <w:pPr>
        <w:spacing w:after="120"/>
        <w:rPr>
          <w:rFonts w:ascii="Gill Sans MT" w:hAnsi="Gill Sans MT" w:cstheme="minorHAnsi"/>
          <w:sz w:val="24"/>
          <w:szCs w:val="24"/>
        </w:rPr>
      </w:pPr>
      <w:r w:rsidRPr="00AA7AA3">
        <w:rPr>
          <w:rFonts w:ascii="Gill Sans MT" w:hAnsi="Gill Sans MT" w:cstheme="minorHAnsi"/>
          <w:sz w:val="24"/>
          <w:szCs w:val="24"/>
        </w:rPr>
        <w:t xml:space="preserve">This submission is </w:t>
      </w:r>
      <w:r w:rsidR="005B2F60" w:rsidRPr="00AA7AA3">
        <w:rPr>
          <w:rFonts w:ascii="Gill Sans MT" w:hAnsi="Gill Sans MT" w:cstheme="minorHAnsi"/>
          <w:sz w:val="24"/>
          <w:szCs w:val="24"/>
        </w:rPr>
        <w:t xml:space="preserve">primarily </w:t>
      </w:r>
      <w:r w:rsidRPr="00AA7AA3">
        <w:rPr>
          <w:rFonts w:ascii="Gill Sans MT" w:hAnsi="Gill Sans MT" w:cstheme="minorHAnsi"/>
          <w:sz w:val="24"/>
          <w:szCs w:val="24"/>
        </w:rPr>
        <w:t>responding to the following element</w:t>
      </w:r>
      <w:r w:rsidR="005E59F2" w:rsidRPr="00AA7AA3">
        <w:rPr>
          <w:rFonts w:ascii="Gill Sans MT" w:hAnsi="Gill Sans MT" w:cstheme="minorHAnsi"/>
          <w:sz w:val="24"/>
          <w:szCs w:val="24"/>
        </w:rPr>
        <w:t>s</w:t>
      </w:r>
      <w:r w:rsidRPr="00AA7AA3">
        <w:rPr>
          <w:rFonts w:ascii="Gill Sans MT" w:hAnsi="Gill Sans MT" w:cstheme="minorHAnsi"/>
          <w:sz w:val="24"/>
          <w:szCs w:val="24"/>
        </w:rPr>
        <w:t xml:space="preserve"> of the </w:t>
      </w:r>
      <w:r w:rsidR="005B2F60" w:rsidRPr="00AA7AA3">
        <w:rPr>
          <w:rFonts w:ascii="Gill Sans MT" w:hAnsi="Gill Sans MT" w:cstheme="minorHAnsi"/>
          <w:sz w:val="24"/>
          <w:szCs w:val="24"/>
        </w:rPr>
        <w:t>Independent</w:t>
      </w:r>
      <w:r w:rsidRPr="00AA7AA3">
        <w:rPr>
          <w:rFonts w:ascii="Gill Sans MT" w:hAnsi="Gill Sans MT" w:cstheme="minorHAnsi"/>
          <w:sz w:val="24"/>
          <w:szCs w:val="24"/>
        </w:rPr>
        <w:t xml:space="preserve"> Review’s Terms of Reference:</w:t>
      </w:r>
    </w:p>
    <w:p w14:paraId="2EF3654F" w14:textId="6DF232A7" w:rsidR="005B2F60" w:rsidRPr="00AA7AA3" w:rsidRDefault="005B2F60" w:rsidP="00214658">
      <w:pPr>
        <w:pStyle w:val="ListParagraph"/>
        <w:numPr>
          <w:ilvl w:val="0"/>
          <w:numId w:val="6"/>
        </w:numPr>
        <w:spacing w:after="0"/>
        <w:rPr>
          <w:rFonts w:ascii="Gill Sans MT" w:hAnsi="Gill Sans MT" w:cstheme="minorHAnsi"/>
          <w:sz w:val="24"/>
          <w:szCs w:val="24"/>
        </w:rPr>
      </w:pPr>
      <w:r w:rsidRPr="00AA7AA3">
        <w:rPr>
          <w:rFonts w:ascii="Gill Sans MT" w:hAnsi="Gill Sans MT" w:cstheme="minorHAnsi"/>
          <w:sz w:val="24"/>
          <w:szCs w:val="24"/>
        </w:rPr>
        <w:t>delivering high quality policy advice, regulatory oversight, programs and services</w:t>
      </w:r>
    </w:p>
    <w:p w14:paraId="5F815563" w14:textId="7F8E17FE" w:rsidR="005B2F60" w:rsidRPr="00AA7AA3" w:rsidRDefault="005B2F60" w:rsidP="00214658">
      <w:pPr>
        <w:pStyle w:val="ListParagraph"/>
        <w:numPr>
          <w:ilvl w:val="0"/>
          <w:numId w:val="6"/>
        </w:numPr>
        <w:spacing w:after="0"/>
        <w:rPr>
          <w:rFonts w:ascii="Gill Sans MT" w:hAnsi="Gill Sans MT" w:cstheme="minorHAnsi"/>
          <w:sz w:val="24"/>
          <w:szCs w:val="24"/>
        </w:rPr>
      </w:pPr>
      <w:r w:rsidRPr="00AA7AA3">
        <w:rPr>
          <w:rFonts w:ascii="Gill Sans MT" w:hAnsi="Gill Sans MT" w:cstheme="minorHAnsi"/>
          <w:sz w:val="24"/>
          <w:szCs w:val="24"/>
        </w:rPr>
        <w:t>acquiring and maintaining the necessary skills and expertise to fulfil its responsibilities</w:t>
      </w:r>
    </w:p>
    <w:p w14:paraId="53D48FBA" w14:textId="235D53E8" w:rsidR="0014268E" w:rsidRPr="00AA7AA3" w:rsidRDefault="005B2F60" w:rsidP="00214658">
      <w:pPr>
        <w:pStyle w:val="ListParagraph"/>
        <w:numPr>
          <w:ilvl w:val="0"/>
          <w:numId w:val="6"/>
        </w:numPr>
        <w:spacing w:after="0"/>
        <w:rPr>
          <w:rFonts w:ascii="Gill Sans MT" w:hAnsi="Gill Sans MT" w:cstheme="minorHAnsi"/>
          <w:sz w:val="24"/>
          <w:szCs w:val="24"/>
        </w:rPr>
      </w:pPr>
      <w:r w:rsidRPr="00AA7AA3">
        <w:rPr>
          <w:rFonts w:ascii="Gill Sans MT" w:hAnsi="Gill Sans MT" w:cstheme="minorHAnsi"/>
          <w:sz w:val="24"/>
          <w:szCs w:val="24"/>
        </w:rPr>
        <w:t>improving citizens’ experience of government and delivering fair outcomes for them</w:t>
      </w:r>
      <w:r w:rsidR="00F25114" w:rsidRPr="00AA7AA3">
        <w:rPr>
          <w:rFonts w:ascii="Gill Sans MT" w:hAnsi="Gill Sans MT" w:cstheme="minorHAnsi"/>
          <w:sz w:val="24"/>
          <w:szCs w:val="24"/>
        </w:rPr>
        <w:t>.</w:t>
      </w:r>
    </w:p>
    <w:p w14:paraId="7C2F8E64" w14:textId="77777777" w:rsidR="00D91584" w:rsidRPr="00AA7AA3" w:rsidRDefault="00D91584" w:rsidP="00214658">
      <w:pPr>
        <w:spacing w:before="120"/>
        <w:rPr>
          <w:rFonts w:ascii="Gill Sans MT" w:hAnsi="Gill Sans MT" w:cstheme="minorHAnsi"/>
          <w:sz w:val="24"/>
          <w:szCs w:val="24"/>
        </w:rPr>
      </w:pPr>
      <w:r w:rsidRPr="00AA7AA3">
        <w:rPr>
          <w:rFonts w:ascii="Gill Sans MT" w:hAnsi="Gill Sans MT" w:cstheme="minorHAnsi"/>
          <w:sz w:val="24"/>
          <w:szCs w:val="24"/>
        </w:rPr>
        <w:t>This submission comprises the following parts:</w:t>
      </w:r>
    </w:p>
    <w:p w14:paraId="30403B87" w14:textId="211B35AD" w:rsidR="00086BD2" w:rsidRPr="00AA7AA3" w:rsidRDefault="00086BD2" w:rsidP="00214658">
      <w:pPr>
        <w:pStyle w:val="ListParagraph"/>
        <w:numPr>
          <w:ilvl w:val="0"/>
          <w:numId w:val="6"/>
        </w:numPr>
        <w:spacing w:after="0"/>
        <w:rPr>
          <w:rFonts w:ascii="Gill Sans MT" w:hAnsi="Gill Sans MT" w:cstheme="minorHAnsi"/>
          <w:sz w:val="24"/>
          <w:szCs w:val="24"/>
        </w:rPr>
      </w:pPr>
      <w:r w:rsidRPr="00AA7AA3">
        <w:rPr>
          <w:rFonts w:ascii="Gill Sans MT" w:hAnsi="Gill Sans MT" w:cstheme="minorHAnsi"/>
          <w:sz w:val="24"/>
          <w:szCs w:val="24"/>
        </w:rPr>
        <w:t>current context for the APS</w:t>
      </w:r>
    </w:p>
    <w:p w14:paraId="208AEFF2" w14:textId="093B57B3" w:rsidR="00D35CBA" w:rsidRPr="00AA7AA3" w:rsidRDefault="00F25114" w:rsidP="00214658">
      <w:pPr>
        <w:pStyle w:val="ListParagraph"/>
        <w:numPr>
          <w:ilvl w:val="0"/>
          <w:numId w:val="6"/>
        </w:numPr>
        <w:spacing w:after="0"/>
        <w:rPr>
          <w:rFonts w:ascii="Gill Sans MT" w:hAnsi="Gill Sans MT" w:cstheme="minorHAnsi"/>
          <w:sz w:val="24"/>
          <w:szCs w:val="24"/>
        </w:rPr>
      </w:pPr>
      <w:r w:rsidRPr="00AA7AA3">
        <w:rPr>
          <w:rFonts w:ascii="Gill Sans MT" w:hAnsi="Gill Sans MT" w:cstheme="minorHAnsi"/>
          <w:sz w:val="24"/>
          <w:szCs w:val="24"/>
        </w:rPr>
        <w:t>e</w:t>
      </w:r>
      <w:r w:rsidR="00D35CBA" w:rsidRPr="00AA7AA3">
        <w:rPr>
          <w:rFonts w:ascii="Gill Sans MT" w:hAnsi="Gill Sans MT" w:cstheme="minorHAnsi"/>
          <w:sz w:val="24"/>
          <w:szCs w:val="24"/>
        </w:rPr>
        <w:t>valuation and its role in contributing to appropriate, effective and efficient public administration</w:t>
      </w:r>
    </w:p>
    <w:p w14:paraId="42E584C6" w14:textId="44A01B36" w:rsidR="00D91584" w:rsidRPr="00AA7AA3" w:rsidRDefault="00F25114" w:rsidP="00214658">
      <w:pPr>
        <w:pStyle w:val="ListParagraph"/>
        <w:numPr>
          <w:ilvl w:val="0"/>
          <w:numId w:val="6"/>
        </w:numPr>
        <w:spacing w:after="0"/>
        <w:rPr>
          <w:rFonts w:ascii="Gill Sans MT" w:hAnsi="Gill Sans MT" w:cstheme="minorHAnsi"/>
          <w:sz w:val="24"/>
          <w:szCs w:val="24"/>
        </w:rPr>
      </w:pPr>
      <w:r w:rsidRPr="00AA7AA3">
        <w:rPr>
          <w:rFonts w:ascii="Gill Sans MT" w:hAnsi="Gill Sans MT" w:cstheme="minorHAnsi"/>
          <w:sz w:val="24"/>
          <w:szCs w:val="24"/>
        </w:rPr>
        <w:t>c</w:t>
      </w:r>
      <w:r w:rsidR="005B2F60" w:rsidRPr="00AA7AA3">
        <w:rPr>
          <w:rFonts w:ascii="Gill Sans MT" w:hAnsi="Gill Sans MT" w:cstheme="minorHAnsi"/>
          <w:sz w:val="24"/>
          <w:szCs w:val="24"/>
        </w:rPr>
        <w:t xml:space="preserve">urrent </w:t>
      </w:r>
      <w:r w:rsidR="002D74D3" w:rsidRPr="00AA7AA3">
        <w:rPr>
          <w:rFonts w:ascii="Gill Sans MT" w:hAnsi="Gill Sans MT" w:cstheme="minorHAnsi"/>
          <w:sz w:val="24"/>
          <w:szCs w:val="24"/>
        </w:rPr>
        <w:t>capacity of the APS to undertake evaluation</w:t>
      </w:r>
    </w:p>
    <w:p w14:paraId="32F90C4A" w14:textId="456F5958" w:rsidR="001157FF" w:rsidRPr="00AA7AA3" w:rsidRDefault="00F25114" w:rsidP="00214658">
      <w:pPr>
        <w:pStyle w:val="ListParagraph"/>
        <w:numPr>
          <w:ilvl w:val="0"/>
          <w:numId w:val="6"/>
        </w:numPr>
        <w:spacing w:after="0"/>
        <w:rPr>
          <w:rFonts w:ascii="Gill Sans MT" w:hAnsi="Gill Sans MT" w:cstheme="minorHAnsi"/>
          <w:sz w:val="24"/>
          <w:szCs w:val="24"/>
        </w:rPr>
      </w:pPr>
      <w:r w:rsidRPr="00AA7AA3">
        <w:rPr>
          <w:rFonts w:ascii="Gill Sans MT" w:hAnsi="Gill Sans MT" w:cstheme="minorHAnsi"/>
          <w:sz w:val="24"/>
          <w:szCs w:val="24"/>
        </w:rPr>
        <w:t>p</w:t>
      </w:r>
      <w:r w:rsidR="00D91584" w:rsidRPr="00AA7AA3">
        <w:rPr>
          <w:rFonts w:ascii="Gill Sans MT" w:hAnsi="Gill Sans MT" w:cstheme="minorHAnsi"/>
          <w:sz w:val="24"/>
          <w:szCs w:val="24"/>
        </w:rPr>
        <w:t xml:space="preserve">ossible </w:t>
      </w:r>
      <w:r w:rsidRPr="00AA7AA3">
        <w:rPr>
          <w:rFonts w:ascii="Gill Sans MT" w:hAnsi="Gill Sans MT" w:cstheme="minorHAnsi"/>
          <w:sz w:val="24"/>
          <w:szCs w:val="24"/>
        </w:rPr>
        <w:t>s</w:t>
      </w:r>
      <w:r w:rsidR="00D91584" w:rsidRPr="00AA7AA3">
        <w:rPr>
          <w:rFonts w:ascii="Gill Sans MT" w:hAnsi="Gill Sans MT" w:cstheme="minorHAnsi"/>
          <w:sz w:val="24"/>
          <w:szCs w:val="24"/>
        </w:rPr>
        <w:t>trategies</w:t>
      </w:r>
      <w:r w:rsidRPr="00AA7AA3">
        <w:rPr>
          <w:rFonts w:ascii="Gill Sans MT" w:hAnsi="Gill Sans MT" w:cstheme="minorHAnsi"/>
          <w:sz w:val="24"/>
          <w:szCs w:val="24"/>
        </w:rPr>
        <w:t>.</w:t>
      </w:r>
    </w:p>
    <w:p w14:paraId="236B451F" w14:textId="5D1FDA98" w:rsidR="001157FF" w:rsidRPr="00AA7AA3" w:rsidRDefault="00C73145" w:rsidP="00214658">
      <w:pPr>
        <w:spacing w:before="360"/>
        <w:rPr>
          <w:rFonts w:ascii="Gill Sans MT" w:hAnsi="Gill Sans MT" w:cstheme="minorHAnsi"/>
          <w:b/>
          <w:sz w:val="24"/>
          <w:szCs w:val="24"/>
        </w:rPr>
      </w:pPr>
      <w:r w:rsidRPr="00AA7AA3">
        <w:rPr>
          <w:rFonts w:ascii="Gill Sans MT" w:hAnsi="Gill Sans MT" w:cstheme="minorHAnsi"/>
          <w:b/>
          <w:sz w:val="24"/>
          <w:szCs w:val="24"/>
        </w:rPr>
        <w:t xml:space="preserve">CURRENT </w:t>
      </w:r>
      <w:r w:rsidR="001157FF" w:rsidRPr="00AA7AA3">
        <w:rPr>
          <w:rFonts w:ascii="Gill Sans MT" w:hAnsi="Gill Sans MT" w:cstheme="minorHAnsi"/>
          <w:b/>
          <w:sz w:val="24"/>
          <w:szCs w:val="24"/>
        </w:rPr>
        <w:t>CONTEXT</w:t>
      </w:r>
      <w:r w:rsidRPr="00AA7AA3">
        <w:rPr>
          <w:rFonts w:ascii="Gill Sans MT" w:hAnsi="Gill Sans MT" w:cstheme="minorHAnsi"/>
          <w:b/>
          <w:sz w:val="24"/>
          <w:szCs w:val="24"/>
        </w:rPr>
        <w:t xml:space="preserve"> FOR THE </w:t>
      </w:r>
      <w:r w:rsidR="0014268E" w:rsidRPr="00AA7AA3">
        <w:rPr>
          <w:rFonts w:ascii="Gill Sans MT" w:hAnsi="Gill Sans MT" w:cstheme="minorHAnsi"/>
          <w:b/>
          <w:sz w:val="24"/>
          <w:szCs w:val="24"/>
        </w:rPr>
        <w:t>APS</w:t>
      </w:r>
    </w:p>
    <w:p w14:paraId="3584CC95" w14:textId="21653735" w:rsidR="0043303B" w:rsidRPr="00AA7AA3" w:rsidRDefault="000345BE" w:rsidP="00214658">
      <w:pPr>
        <w:spacing w:before="360"/>
        <w:rPr>
          <w:rFonts w:ascii="Gill Sans MT" w:hAnsi="Gill Sans MT" w:cstheme="minorHAnsi"/>
          <w:sz w:val="24"/>
          <w:szCs w:val="24"/>
        </w:rPr>
      </w:pPr>
      <w:r w:rsidRPr="00AA7AA3">
        <w:rPr>
          <w:rFonts w:ascii="Gill Sans MT" w:hAnsi="Gill Sans MT" w:cstheme="minorHAnsi"/>
          <w:sz w:val="24"/>
          <w:szCs w:val="24"/>
        </w:rPr>
        <w:t>In making this submission, t</w:t>
      </w:r>
      <w:r w:rsidR="004A00FF" w:rsidRPr="00AA7AA3">
        <w:rPr>
          <w:rFonts w:ascii="Gill Sans MT" w:hAnsi="Gill Sans MT" w:cstheme="minorHAnsi"/>
          <w:sz w:val="24"/>
          <w:szCs w:val="24"/>
        </w:rPr>
        <w:t xml:space="preserve">he AES </w:t>
      </w:r>
      <w:r w:rsidR="00AE7881" w:rsidRPr="00AA7AA3">
        <w:rPr>
          <w:rFonts w:ascii="Gill Sans MT" w:hAnsi="Gill Sans MT" w:cstheme="minorHAnsi"/>
          <w:sz w:val="24"/>
          <w:szCs w:val="24"/>
        </w:rPr>
        <w:t>recognises</w:t>
      </w:r>
      <w:r w:rsidR="004A00FF" w:rsidRPr="00AA7AA3">
        <w:rPr>
          <w:rFonts w:ascii="Gill Sans MT" w:hAnsi="Gill Sans MT" w:cstheme="minorHAnsi"/>
          <w:sz w:val="24"/>
          <w:szCs w:val="24"/>
        </w:rPr>
        <w:t xml:space="preserve"> that the context in which Government</w:t>
      </w:r>
      <w:r w:rsidR="00CE6CC5" w:rsidRPr="00AA7AA3">
        <w:rPr>
          <w:rFonts w:ascii="Gill Sans MT" w:hAnsi="Gill Sans MT" w:cstheme="minorHAnsi"/>
          <w:sz w:val="24"/>
          <w:szCs w:val="24"/>
        </w:rPr>
        <w:t>,</w:t>
      </w:r>
      <w:r w:rsidR="004A00FF" w:rsidRPr="00AA7AA3">
        <w:rPr>
          <w:rFonts w:ascii="Gill Sans MT" w:hAnsi="Gill Sans MT" w:cstheme="minorHAnsi"/>
          <w:sz w:val="24"/>
          <w:szCs w:val="24"/>
        </w:rPr>
        <w:t xml:space="preserve"> and particularly the </w:t>
      </w:r>
      <w:r w:rsidR="0014268E" w:rsidRPr="00AA7AA3">
        <w:rPr>
          <w:rFonts w:ascii="Gill Sans MT" w:hAnsi="Gill Sans MT" w:cstheme="minorHAnsi"/>
          <w:sz w:val="24"/>
          <w:szCs w:val="24"/>
        </w:rPr>
        <w:t>APS</w:t>
      </w:r>
      <w:r w:rsidR="00CE6CC5" w:rsidRPr="00AA7AA3">
        <w:rPr>
          <w:rFonts w:ascii="Gill Sans MT" w:hAnsi="Gill Sans MT" w:cstheme="minorHAnsi"/>
          <w:sz w:val="24"/>
          <w:szCs w:val="24"/>
        </w:rPr>
        <w:t>,</w:t>
      </w:r>
      <w:r w:rsidR="006B7203" w:rsidRPr="00AA7AA3">
        <w:rPr>
          <w:rFonts w:ascii="Gill Sans MT" w:hAnsi="Gill Sans MT" w:cstheme="minorHAnsi"/>
          <w:sz w:val="24"/>
          <w:szCs w:val="24"/>
        </w:rPr>
        <w:t xml:space="preserve"> operates</w:t>
      </w:r>
      <w:r w:rsidR="004A00FF" w:rsidRPr="00AA7AA3">
        <w:rPr>
          <w:rFonts w:ascii="Gill Sans MT" w:hAnsi="Gill Sans MT" w:cstheme="minorHAnsi"/>
          <w:sz w:val="24"/>
          <w:szCs w:val="24"/>
        </w:rPr>
        <w:t xml:space="preserve"> is a </w:t>
      </w:r>
      <w:r w:rsidR="005E59F2" w:rsidRPr="00AA7AA3">
        <w:rPr>
          <w:rFonts w:ascii="Gill Sans MT" w:hAnsi="Gill Sans MT" w:cstheme="minorHAnsi"/>
          <w:sz w:val="24"/>
          <w:szCs w:val="24"/>
        </w:rPr>
        <w:t xml:space="preserve">highly </w:t>
      </w:r>
      <w:r w:rsidR="004A00FF" w:rsidRPr="00AA7AA3">
        <w:rPr>
          <w:rFonts w:ascii="Gill Sans MT" w:hAnsi="Gill Sans MT" w:cstheme="minorHAnsi"/>
          <w:sz w:val="24"/>
          <w:szCs w:val="24"/>
        </w:rPr>
        <w:t xml:space="preserve">complex one. </w:t>
      </w:r>
    </w:p>
    <w:p w14:paraId="34C864B3" w14:textId="090C2FA3" w:rsidR="00383DCB" w:rsidRPr="00AA7AA3" w:rsidRDefault="004A00FF" w:rsidP="00214658">
      <w:pPr>
        <w:rPr>
          <w:rFonts w:ascii="Gill Sans MT" w:hAnsi="Gill Sans MT" w:cstheme="minorHAnsi"/>
          <w:sz w:val="24"/>
          <w:szCs w:val="24"/>
        </w:rPr>
      </w:pPr>
      <w:r w:rsidRPr="00AA7AA3">
        <w:rPr>
          <w:rFonts w:ascii="Gill Sans MT" w:hAnsi="Gill Sans MT" w:cstheme="minorHAnsi"/>
          <w:sz w:val="24"/>
          <w:szCs w:val="24"/>
        </w:rPr>
        <w:t xml:space="preserve">Some of this context is </w:t>
      </w:r>
      <w:r w:rsidR="00383DCB" w:rsidRPr="00AA7AA3">
        <w:rPr>
          <w:rFonts w:ascii="Gill Sans MT" w:hAnsi="Gill Sans MT" w:cstheme="minorHAnsi"/>
          <w:sz w:val="24"/>
          <w:szCs w:val="24"/>
        </w:rPr>
        <w:t xml:space="preserve">established by the Parliament, </w:t>
      </w:r>
      <w:r w:rsidRPr="00AA7AA3">
        <w:rPr>
          <w:rFonts w:ascii="Gill Sans MT" w:hAnsi="Gill Sans MT" w:cstheme="minorHAnsi"/>
          <w:sz w:val="24"/>
          <w:szCs w:val="24"/>
        </w:rPr>
        <w:t xml:space="preserve">particularly through key legislation such as the </w:t>
      </w:r>
      <w:r w:rsidRPr="00AA7AA3">
        <w:rPr>
          <w:rFonts w:ascii="Gill Sans MT" w:hAnsi="Gill Sans MT" w:cstheme="minorHAnsi"/>
          <w:i/>
          <w:sz w:val="24"/>
          <w:szCs w:val="24"/>
        </w:rPr>
        <w:t>Public Service Act</w:t>
      </w:r>
      <w:r w:rsidRPr="00AA7AA3">
        <w:rPr>
          <w:rFonts w:ascii="Gill Sans MT" w:hAnsi="Gill Sans MT" w:cstheme="minorHAnsi"/>
          <w:sz w:val="24"/>
          <w:szCs w:val="24"/>
        </w:rPr>
        <w:t xml:space="preserve"> </w:t>
      </w:r>
      <w:r w:rsidR="00383DCB" w:rsidRPr="00AA7AA3">
        <w:rPr>
          <w:rFonts w:ascii="Gill Sans MT" w:hAnsi="Gill Sans MT" w:cstheme="minorHAnsi"/>
          <w:i/>
          <w:sz w:val="24"/>
          <w:szCs w:val="24"/>
        </w:rPr>
        <w:t>1999</w:t>
      </w:r>
      <w:r w:rsidR="00383DCB" w:rsidRPr="00AA7AA3">
        <w:rPr>
          <w:rFonts w:ascii="Gill Sans MT" w:hAnsi="Gill Sans MT" w:cstheme="minorHAnsi"/>
          <w:sz w:val="24"/>
          <w:szCs w:val="24"/>
        </w:rPr>
        <w:t xml:space="preserve"> which requires </w:t>
      </w:r>
      <w:r w:rsidR="00383DCB" w:rsidRPr="00AA7AA3">
        <w:rPr>
          <w:rFonts w:ascii="Gill Sans MT" w:eastAsia="Times New Roman" w:hAnsi="Gill Sans MT" w:cstheme="minorHAnsi"/>
          <w:i/>
          <w:iCs/>
          <w:color w:val="000000"/>
          <w:sz w:val="24"/>
          <w:szCs w:val="24"/>
          <w:shd w:val="clear" w:color="auto" w:fill="FFFFFF"/>
        </w:rPr>
        <w:t>‘…</w:t>
      </w:r>
      <w:r w:rsidR="00383DCB" w:rsidRPr="00AA7AA3">
        <w:rPr>
          <w:rFonts w:ascii="Gill Sans MT" w:eastAsia="Times New Roman" w:hAnsi="Gill Sans MT" w:cstheme="minorHAnsi"/>
          <w:i/>
          <w:iCs/>
          <w:color w:val="212121"/>
          <w:sz w:val="24"/>
          <w:szCs w:val="24"/>
          <w:shd w:val="clear" w:color="auto" w:fill="FFFFFF"/>
        </w:rPr>
        <w:t>an</w:t>
      </w:r>
      <w:r w:rsidR="00383DCB" w:rsidRPr="00AA7AA3">
        <w:rPr>
          <w:rStyle w:val="apple-converted-space"/>
          <w:rFonts w:ascii="Gill Sans MT" w:eastAsia="Times New Roman" w:hAnsi="Gill Sans MT" w:cstheme="minorHAnsi"/>
          <w:i/>
          <w:iCs/>
          <w:color w:val="212121"/>
          <w:sz w:val="24"/>
          <w:szCs w:val="24"/>
          <w:shd w:val="clear" w:color="auto" w:fill="FFFFFF"/>
        </w:rPr>
        <w:t> </w:t>
      </w:r>
      <w:r w:rsidR="00383DCB" w:rsidRPr="00AA7AA3">
        <w:rPr>
          <w:rFonts w:ascii="Gill Sans MT" w:eastAsia="Times New Roman" w:hAnsi="Gill Sans MT" w:cstheme="minorHAnsi"/>
          <w:i/>
          <w:iCs/>
          <w:color w:val="000000"/>
          <w:sz w:val="24"/>
          <w:szCs w:val="24"/>
          <w:shd w:val="clear" w:color="auto" w:fill="FFFFFF"/>
        </w:rPr>
        <w:t>apolitical public service that</w:t>
      </w:r>
      <w:r w:rsidR="00383DCB" w:rsidRPr="00AA7AA3">
        <w:rPr>
          <w:rStyle w:val="apple-converted-space"/>
          <w:rFonts w:ascii="Gill Sans MT" w:eastAsia="Times New Roman" w:hAnsi="Gill Sans MT" w:cstheme="minorHAnsi"/>
          <w:i/>
          <w:iCs/>
          <w:color w:val="000000"/>
          <w:sz w:val="24"/>
          <w:szCs w:val="24"/>
          <w:shd w:val="clear" w:color="auto" w:fill="FFFFFF"/>
        </w:rPr>
        <w:t> </w:t>
      </w:r>
      <w:r w:rsidR="00383DCB" w:rsidRPr="00AA7AA3">
        <w:rPr>
          <w:rFonts w:ascii="Gill Sans MT" w:eastAsia="Times New Roman" w:hAnsi="Gill Sans MT" w:cstheme="minorHAnsi"/>
          <w:i/>
          <w:iCs/>
          <w:color w:val="212121"/>
          <w:sz w:val="24"/>
          <w:szCs w:val="24"/>
          <w:shd w:val="clear" w:color="auto" w:fill="FFFFFF"/>
        </w:rPr>
        <w:t>is</w:t>
      </w:r>
      <w:r w:rsidR="00383DCB" w:rsidRPr="00AA7AA3">
        <w:rPr>
          <w:rStyle w:val="apple-converted-space"/>
          <w:rFonts w:ascii="Gill Sans MT" w:eastAsia="Times New Roman" w:hAnsi="Gill Sans MT" w:cstheme="minorHAnsi"/>
          <w:i/>
          <w:iCs/>
          <w:color w:val="000000"/>
          <w:sz w:val="24"/>
          <w:szCs w:val="24"/>
          <w:shd w:val="clear" w:color="auto" w:fill="FFFFFF"/>
        </w:rPr>
        <w:t> </w:t>
      </w:r>
      <w:r w:rsidR="00383DCB" w:rsidRPr="00AA7AA3">
        <w:rPr>
          <w:rFonts w:ascii="Gill Sans MT" w:eastAsia="Times New Roman" w:hAnsi="Gill Sans MT" w:cstheme="minorHAnsi"/>
          <w:i/>
          <w:iCs/>
          <w:color w:val="000000"/>
          <w:sz w:val="24"/>
          <w:szCs w:val="24"/>
          <w:shd w:val="clear" w:color="auto" w:fill="FFFFFF"/>
        </w:rPr>
        <w:t>efficient and effective in serving the Government, the Parliament and the Australian public’</w:t>
      </w:r>
      <w:r w:rsidR="00383DCB" w:rsidRPr="00AA7AA3">
        <w:rPr>
          <w:rStyle w:val="FootnoteReference"/>
          <w:rFonts w:ascii="Gill Sans MT" w:eastAsia="Times New Roman" w:hAnsi="Gill Sans MT" w:cstheme="minorHAnsi"/>
          <w:i/>
          <w:iCs/>
          <w:color w:val="000000"/>
          <w:sz w:val="24"/>
          <w:szCs w:val="24"/>
          <w:shd w:val="clear" w:color="auto" w:fill="FFFFFF"/>
        </w:rPr>
        <w:footnoteReference w:id="1"/>
      </w:r>
      <w:r w:rsidR="00383DCB" w:rsidRPr="00AA7AA3">
        <w:rPr>
          <w:rFonts w:ascii="Gill Sans MT" w:hAnsi="Gill Sans MT" w:cstheme="minorHAnsi"/>
          <w:sz w:val="24"/>
          <w:szCs w:val="24"/>
        </w:rPr>
        <w:t xml:space="preserve"> </w:t>
      </w:r>
      <w:r w:rsidRPr="00AA7AA3">
        <w:rPr>
          <w:rFonts w:ascii="Gill Sans MT" w:hAnsi="Gill Sans MT" w:cstheme="minorHAnsi"/>
          <w:sz w:val="24"/>
          <w:szCs w:val="24"/>
        </w:rPr>
        <w:t xml:space="preserve">and the </w:t>
      </w:r>
      <w:r w:rsidRPr="00AA7AA3">
        <w:rPr>
          <w:rFonts w:ascii="Gill Sans MT" w:hAnsi="Gill Sans MT" w:cstheme="minorHAnsi"/>
          <w:i/>
          <w:sz w:val="24"/>
          <w:szCs w:val="24"/>
        </w:rPr>
        <w:t>Public Governance Performance and Accountability Act 2013</w:t>
      </w:r>
      <w:r w:rsidR="00383DCB" w:rsidRPr="00AA7AA3">
        <w:rPr>
          <w:rFonts w:ascii="Gill Sans MT" w:hAnsi="Gill Sans MT" w:cstheme="minorHAnsi"/>
          <w:i/>
          <w:sz w:val="24"/>
          <w:szCs w:val="24"/>
        </w:rPr>
        <w:t xml:space="preserve"> </w:t>
      </w:r>
      <w:r w:rsidR="00383DCB" w:rsidRPr="00AA7AA3">
        <w:rPr>
          <w:rFonts w:ascii="Gill Sans MT" w:hAnsi="Gill Sans MT" w:cstheme="minorHAnsi"/>
          <w:sz w:val="24"/>
          <w:szCs w:val="24"/>
        </w:rPr>
        <w:t>which requires</w:t>
      </w:r>
      <w:r w:rsidR="00383DCB" w:rsidRPr="00AA7AA3">
        <w:rPr>
          <w:rFonts w:ascii="Gill Sans MT" w:eastAsia="Times New Roman" w:hAnsi="Gill Sans MT" w:cstheme="minorHAnsi"/>
          <w:color w:val="000000"/>
          <w:sz w:val="24"/>
          <w:szCs w:val="24"/>
          <w:shd w:val="clear" w:color="auto" w:fill="FFFFFF"/>
        </w:rPr>
        <w:t xml:space="preserve"> </w:t>
      </w:r>
      <w:r w:rsidR="005E59F2" w:rsidRPr="00AA7AA3">
        <w:rPr>
          <w:rFonts w:ascii="Gill Sans MT" w:eastAsia="Times New Roman" w:hAnsi="Gill Sans MT" w:cstheme="minorHAnsi"/>
          <w:i/>
          <w:color w:val="000000"/>
          <w:sz w:val="24"/>
          <w:szCs w:val="24"/>
          <w:shd w:val="clear" w:color="auto" w:fill="FFFFFF"/>
        </w:rPr>
        <w:t>“</w:t>
      </w:r>
      <w:r w:rsidR="005E59F2" w:rsidRPr="00AA7AA3">
        <w:rPr>
          <w:rFonts w:ascii="Gill Sans MT" w:eastAsia="Times New Roman" w:hAnsi="Gill Sans MT" w:cstheme="minorHAnsi"/>
          <w:color w:val="000000"/>
          <w:sz w:val="24"/>
          <w:szCs w:val="24"/>
          <w:shd w:val="clear" w:color="auto" w:fill="FFFFFF"/>
        </w:rPr>
        <w:t>…</w:t>
      </w:r>
      <w:r w:rsidR="00383DCB" w:rsidRPr="00AA7AA3">
        <w:rPr>
          <w:rFonts w:ascii="Gill Sans MT" w:eastAsia="Times New Roman" w:hAnsi="Gill Sans MT" w:cstheme="minorHAnsi"/>
          <w:i/>
          <w:iCs/>
          <w:color w:val="000000"/>
          <w:sz w:val="24"/>
          <w:szCs w:val="24"/>
          <w:shd w:val="clear" w:color="auto" w:fill="FFFFFF"/>
        </w:rPr>
        <w:t>high standards of governance, performance and accountability”.</w:t>
      </w:r>
      <w:r w:rsidR="00383DCB" w:rsidRPr="00AA7AA3">
        <w:rPr>
          <w:rStyle w:val="FootnoteReference"/>
          <w:rFonts w:ascii="Gill Sans MT" w:eastAsia="Times New Roman" w:hAnsi="Gill Sans MT" w:cstheme="minorHAnsi"/>
          <w:i/>
          <w:iCs/>
          <w:color w:val="000000"/>
          <w:sz w:val="24"/>
          <w:szCs w:val="24"/>
          <w:shd w:val="clear" w:color="auto" w:fill="FFFFFF"/>
        </w:rPr>
        <w:footnoteReference w:id="2"/>
      </w:r>
      <w:r w:rsidR="00383DCB" w:rsidRPr="00AA7AA3">
        <w:rPr>
          <w:rFonts w:ascii="Gill Sans MT" w:eastAsia="Times New Roman" w:hAnsi="Gill Sans MT" w:cstheme="minorHAnsi"/>
          <w:i/>
          <w:iCs/>
          <w:color w:val="000000"/>
          <w:sz w:val="24"/>
          <w:szCs w:val="24"/>
          <w:shd w:val="clear" w:color="auto" w:fill="FFFFFF"/>
        </w:rPr>
        <w:t xml:space="preserve"> </w:t>
      </w:r>
      <w:r w:rsidR="00383DCB" w:rsidRPr="00AA7AA3">
        <w:rPr>
          <w:rFonts w:ascii="Gill Sans MT" w:hAnsi="Gill Sans MT" w:cstheme="minorHAnsi"/>
          <w:sz w:val="24"/>
          <w:szCs w:val="24"/>
        </w:rPr>
        <w:t>It is also bounded by</w:t>
      </w:r>
      <w:r w:rsidRPr="00AA7AA3">
        <w:rPr>
          <w:rFonts w:ascii="Gill Sans MT" w:hAnsi="Gill Sans MT" w:cstheme="minorHAnsi"/>
          <w:sz w:val="24"/>
          <w:szCs w:val="24"/>
        </w:rPr>
        <w:t xml:space="preserve"> key institutions such as the </w:t>
      </w:r>
      <w:r w:rsidR="003C1924" w:rsidRPr="00AA7AA3">
        <w:rPr>
          <w:rFonts w:ascii="Gill Sans MT" w:hAnsi="Gill Sans MT" w:cstheme="minorHAnsi"/>
          <w:sz w:val="24"/>
          <w:szCs w:val="24"/>
        </w:rPr>
        <w:t>Australian Public Service</w:t>
      </w:r>
      <w:r w:rsidRPr="00AA7AA3">
        <w:rPr>
          <w:rFonts w:ascii="Gill Sans MT" w:hAnsi="Gill Sans MT" w:cstheme="minorHAnsi"/>
          <w:sz w:val="24"/>
          <w:szCs w:val="24"/>
        </w:rPr>
        <w:t xml:space="preserve"> Commission</w:t>
      </w:r>
      <w:r w:rsidR="00383DCB" w:rsidRPr="00AA7AA3">
        <w:rPr>
          <w:rFonts w:ascii="Gill Sans MT" w:hAnsi="Gill Sans MT" w:cstheme="minorHAnsi"/>
          <w:sz w:val="24"/>
          <w:szCs w:val="24"/>
        </w:rPr>
        <w:t xml:space="preserve"> and Australian National Audit Office</w:t>
      </w:r>
      <w:r w:rsidRPr="00AA7AA3">
        <w:rPr>
          <w:rFonts w:ascii="Gill Sans MT" w:hAnsi="Gill Sans MT" w:cstheme="minorHAnsi"/>
          <w:sz w:val="24"/>
          <w:szCs w:val="24"/>
        </w:rPr>
        <w:t xml:space="preserve">. </w:t>
      </w:r>
    </w:p>
    <w:p w14:paraId="007215D7" w14:textId="3FB13EEE" w:rsidR="00C73145" w:rsidRPr="00AA7AA3" w:rsidRDefault="004A00FF" w:rsidP="00214658">
      <w:pPr>
        <w:spacing w:before="360"/>
        <w:rPr>
          <w:rFonts w:ascii="Gill Sans MT" w:hAnsi="Gill Sans MT" w:cstheme="minorHAnsi"/>
          <w:sz w:val="24"/>
          <w:szCs w:val="24"/>
        </w:rPr>
      </w:pPr>
      <w:r w:rsidRPr="00AA7AA3">
        <w:rPr>
          <w:rFonts w:ascii="Gill Sans MT" w:hAnsi="Gill Sans MT" w:cstheme="minorHAnsi"/>
          <w:sz w:val="24"/>
          <w:szCs w:val="24"/>
        </w:rPr>
        <w:t xml:space="preserve">Other aspects are established by </w:t>
      </w:r>
      <w:r w:rsidR="00383DCB" w:rsidRPr="00AA7AA3">
        <w:rPr>
          <w:rFonts w:ascii="Gill Sans MT" w:hAnsi="Gill Sans MT" w:cstheme="minorHAnsi"/>
          <w:sz w:val="24"/>
          <w:szCs w:val="24"/>
        </w:rPr>
        <w:t>the broader environment</w:t>
      </w:r>
      <w:r w:rsidR="00C42AA7" w:rsidRPr="00AA7AA3">
        <w:rPr>
          <w:rFonts w:ascii="Gill Sans MT" w:hAnsi="Gill Sans MT" w:cstheme="minorHAnsi"/>
          <w:sz w:val="24"/>
          <w:szCs w:val="24"/>
        </w:rPr>
        <w:t xml:space="preserve"> presenting </w:t>
      </w:r>
      <w:r w:rsidRPr="00AA7AA3">
        <w:rPr>
          <w:rFonts w:ascii="Gill Sans MT" w:hAnsi="Gill Sans MT" w:cstheme="minorHAnsi"/>
          <w:sz w:val="24"/>
          <w:szCs w:val="24"/>
        </w:rPr>
        <w:t>significant macro-policy issues – for example the last decade has seen Australian Governments</w:t>
      </w:r>
      <w:r w:rsidR="00115A52" w:rsidRPr="00AA7AA3">
        <w:rPr>
          <w:rFonts w:ascii="Gill Sans MT" w:hAnsi="Gill Sans MT" w:cstheme="minorHAnsi"/>
          <w:sz w:val="24"/>
          <w:szCs w:val="24"/>
        </w:rPr>
        <w:t>’</w:t>
      </w:r>
      <w:r w:rsidRPr="00AA7AA3">
        <w:rPr>
          <w:rFonts w:ascii="Gill Sans MT" w:hAnsi="Gill Sans MT" w:cstheme="minorHAnsi"/>
          <w:sz w:val="24"/>
          <w:szCs w:val="24"/>
        </w:rPr>
        <w:t xml:space="preserve"> consistently wrestle with deficit budgets during a period that the first intergenerational reports predicted there would still be a structural surplus. This has led to significant debate on the</w:t>
      </w:r>
      <w:r w:rsidR="000345BE" w:rsidRPr="00AA7AA3">
        <w:rPr>
          <w:rFonts w:ascii="Gill Sans MT" w:hAnsi="Gill Sans MT" w:cstheme="minorHAnsi"/>
          <w:sz w:val="24"/>
          <w:szCs w:val="24"/>
        </w:rPr>
        <w:t xml:space="preserve"> size</w:t>
      </w:r>
      <w:r w:rsidR="00D74151" w:rsidRPr="00AA7AA3">
        <w:rPr>
          <w:rFonts w:ascii="Gill Sans MT" w:hAnsi="Gill Sans MT" w:cstheme="minorHAnsi"/>
          <w:sz w:val="24"/>
          <w:szCs w:val="24"/>
        </w:rPr>
        <w:t>, nature</w:t>
      </w:r>
      <w:r w:rsidR="000345BE" w:rsidRPr="00AA7AA3">
        <w:rPr>
          <w:rFonts w:ascii="Gill Sans MT" w:hAnsi="Gill Sans MT" w:cstheme="minorHAnsi"/>
          <w:sz w:val="24"/>
          <w:szCs w:val="24"/>
        </w:rPr>
        <w:t xml:space="preserve"> and </w:t>
      </w:r>
      <w:r w:rsidRPr="00AA7AA3">
        <w:rPr>
          <w:rFonts w:ascii="Gill Sans MT" w:hAnsi="Gill Sans MT" w:cstheme="minorHAnsi"/>
          <w:sz w:val="24"/>
          <w:szCs w:val="24"/>
        </w:rPr>
        <w:t xml:space="preserve">role of Australian Government, as evidenced by </w:t>
      </w:r>
      <w:r w:rsidR="0043303B" w:rsidRPr="00AA7AA3">
        <w:rPr>
          <w:rFonts w:ascii="Gill Sans MT" w:hAnsi="Gill Sans MT" w:cstheme="minorHAnsi"/>
          <w:sz w:val="24"/>
          <w:szCs w:val="24"/>
        </w:rPr>
        <w:t xml:space="preserve">work such as </w:t>
      </w:r>
      <w:r w:rsidRPr="00AA7AA3">
        <w:rPr>
          <w:rFonts w:ascii="Gill Sans MT" w:hAnsi="Gill Sans MT" w:cstheme="minorHAnsi"/>
          <w:sz w:val="24"/>
          <w:szCs w:val="24"/>
        </w:rPr>
        <w:t xml:space="preserve">the </w:t>
      </w:r>
      <w:r w:rsidR="00D74151" w:rsidRPr="00AA7AA3">
        <w:rPr>
          <w:rFonts w:ascii="Gill Sans MT" w:hAnsi="Gill Sans MT" w:cstheme="minorHAnsi"/>
          <w:i/>
          <w:sz w:val="24"/>
          <w:szCs w:val="24"/>
        </w:rPr>
        <w:t>National Commission of Audit</w:t>
      </w:r>
      <w:r w:rsidR="00D74151" w:rsidRPr="00AA7AA3">
        <w:rPr>
          <w:rFonts w:ascii="Gill Sans MT" w:hAnsi="Gill Sans MT" w:cstheme="minorHAnsi"/>
          <w:sz w:val="24"/>
          <w:szCs w:val="24"/>
        </w:rPr>
        <w:t xml:space="preserve">, </w:t>
      </w:r>
      <w:r w:rsidRPr="00AA7AA3">
        <w:rPr>
          <w:rFonts w:ascii="Gill Sans MT" w:hAnsi="Gill Sans MT" w:cstheme="minorHAnsi"/>
          <w:sz w:val="24"/>
          <w:szCs w:val="24"/>
        </w:rPr>
        <w:t xml:space="preserve">Productivity Commission’s </w:t>
      </w:r>
      <w:r w:rsidR="0043303B" w:rsidRPr="00AA7AA3">
        <w:rPr>
          <w:rFonts w:ascii="Gill Sans MT" w:hAnsi="Gill Sans MT" w:cstheme="minorHAnsi"/>
          <w:i/>
          <w:sz w:val="24"/>
          <w:szCs w:val="24"/>
        </w:rPr>
        <w:t>Reform to Human Services Inquiry</w:t>
      </w:r>
      <w:r w:rsidR="0043303B" w:rsidRPr="00AA7AA3">
        <w:rPr>
          <w:rFonts w:ascii="Gill Sans MT" w:hAnsi="Gill Sans MT" w:cstheme="minorHAnsi"/>
          <w:sz w:val="24"/>
          <w:szCs w:val="24"/>
        </w:rPr>
        <w:t xml:space="preserve"> and this Inquiry.</w:t>
      </w:r>
      <w:r w:rsidR="000345BE" w:rsidRPr="00AA7AA3">
        <w:rPr>
          <w:rFonts w:ascii="Gill Sans MT" w:hAnsi="Gill Sans MT" w:cstheme="minorHAnsi"/>
          <w:sz w:val="24"/>
          <w:szCs w:val="24"/>
        </w:rPr>
        <w:t xml:space="preserve"> </w:t>
      </w:r>
    </w:p>
    <w:p w14:paraId="0E1A245C" w14:textId="6DDC92BB" w:rsidR="0019096B" w:rsidRPr="00AA7AA3" w:rsidRDefault="000345BE" w:rsidP="00214658">
      <w:pPr>
        <w:spacing w:before="360"/>
        <w:rPr>
          <w:rFonts w:ascii="Gill Sans MT" w:hAnsi="Gill Sans MT" w:cstheme="minorHAnsi"/>
          <w:sz w:val="24"/>
          <w:szCs w:val="24"/>
        </w:rPr>
      </w:pPr>
      <w:r w:rsidRPr="00AA7AA3">
        <w:rPr>
          <w:rFonts w:ascii="Gill Sans MT" w:hAnsi="Gill Sans MT" w:cstheme="minorHAnsi"/>
          <w:sz w:val="24"/>
          <w:szCs w:val="24"/>
        </w:rPr>
        <w:t xml:space="preserve">At an individual Portfolio level, </w:t>
      </w:r>
      <w:r w:rsidR="0043303B" w:rsidRPr="00AA7AA3">
        <w:rPr>
          <w:rFonts w:ascii="Gill Sans MT" w:hAnsi="Gill Sans MT" w:cstheme="minorHAnsi"/>
          <w:sz w:val="24"/>
          <w:szCs w:val="24"/>
        </w:rPr>
        <w:t>there are</w:t>
      </w:r>
      <w:r w:rsidRPr="00AA7AA3">
        <w:rPr>
          <w:rFonts w:ascii="Gill Sans MT" w:hAnsi="Gill Sans MT" w:cstheme="minorHAnsi"/>
          <w:sz w:val="24"/>
          <w:szCs w:val="24"/>
        </w:rPr>
        <w:t xml:space="preserve"> numerous complex and often inter-related issues </w:t>
      </w:r>
      <w:r w:rsidR="00D74151" w:rsidRPr="00AA7AA3">
        <w:rPr>
          <w:rFonts w:ascii="Gill Sans MT" w:hAnsi="Gill Sans MT" w:cstheme="minorHAnsi"/>
          <w:sz w:val="24"/>
          <w:szCs w:val="24"/>
        </w:rPr>
        <w:t xml:space="preserve">being responded to </w:t>
      </w:r>
      <w:r w:rsidR="0025479C" w:rsidRPr="00AA7AA3">
        <w:rPr>
          <w:rFonts w:ascii="Gill Sans MT" w:hAnsi="Gill Sans MT" w:cstheme="minorHAnsi"/>
          <w:sz w:val="24"/>
          <w:szCs w:val="24"/>
        </w:rPr>
        <w:t>such as</w:t>
      </w:r>
      <w:r w:rsidRPr="00AA7AA3">
        <w:rPr>
          <w:rFonts w:ascii="Gill Sans MT" w:hAnsi="Gill Sans MT" w:cstheme="minorHAnsi"/>
          <w:sz w:val="24"/>
          <w:szCs w:val="24"/>
        </w:rPr>
        <w:t xml:space="preserve"> national security, education, </w:t>
      </w:r>
      <w:r w:rsidR="0043303B" w:rsidRPr="00AA7AA3">
        <w:rPr>
          <w:rFonts w:ascii="Gill Sans MT" w:hAnsi="Gill Sans MT" w:cstheme="minorHAnsi"/>
          <w:sz w:val="24"/>
          <w:szCs w:val="24"/>
        </w:rPr>
        <w:t xml:space="preserve">intergenerational change, </w:t>
      </w:r>
      <w:r w:rsidR="0025479C" w:rsidRPr="00AA7AA3">
        <w:rPr>
          <w:rFonts w:ascii="Gill Sans MT" w:hAnsi="Gill Sans MT" w:cstheme="minorHAnsi"/>
          <w:sz w:val="24"/>
          <w:szCs w:val="24"/>
        </w:rPr>
        <w:t>workplace relations, infrastructure, human services</w:t>
      </w:r>
      <w:r w:rsidR="0043303B" w:rsidRPr="00AA7AA3">
        <w:rPr>
          <w:rFonts w:ascii="Gill Sans MT" w:hAnsi="Gill Sans MT" w:cstheme="minorHAnsi"/>
          <w:sz w:val="24"/>
          <w:szCs w:val="24"/>
        </w:rPr>
        <w:t>, energy, community cohesion, international relations</w:t>
      </w:r>
      <w:r w:rsidR="00166B8A" w:rsidRPr="00AA7AA3">
        <w:rPr>
          <w:rFonts w:ascii="Gill Sans MT" w:hAnsi="Gill Sans MT" w:cstheme="minorHAnsi"/>
          <w:sz w:val="24"/>
          <w:szCs w:val="24"/>
        </w:rPr>
        <w:t>,</w:t>
      </w:r>
      <w:r w:rsidR="0025479C" w:rsidRPr="00AA7AA3">
        <w:rPr>
          <w:rFonts w:ascii="Gill Sans MT" w:hAnsi="Gill Sans MT" w:cstheme="minorHAnsi"/>
          <w:sz w:val="24"/>
          <w:szCs w:val="24"/>
        </w:rPr>
        <w:t xml:space="preserve"> and </w:t>
      </w:r>
      <w:r w:rsidR="0043303B" w:rsidRPr="00AA7AA3">
        <w:rPr>
          <w:rFonts w:ascii="Gill Sans MT" w:hAnsi="Gill Sans MT" w:cstheme="minorHAnsi"/>
          <w:sz w:val="24"/>
          <w:szCs w:val="24"/>
        </w:rPr>
        <w:t>economic growth.</w:t>
      </w:r>
    </w:p>
    <w:p w14:paraId="2F60F481" w14:textId="706B2F9B" w:rsidR="0043303B" w:rsidRPr="00AA7AA3" w:rsidRDefault="00AA7AA3" w:rsidP="00214658">
      <w:pPr>
        <w:spacing w:before="360"/>
        <w:rPr>
          <w:rFonts w:ascii="Gill Sans MT" w:hAnsi="Gill Sans MT" w:cstheme="minorHAnsi"/>
          <w:sz w:val="24"/>
          <w:szCs w:val="24"/>
        </w:rPr>
      </w:pPr>
      <w:r>
        <w:rPr>
          <w:rFonts w:ascii="Gill Sans MT" w:hAnsi="Gill Sans MT" w:cstheme="minorHAnsi"/>
          <w:sz w:val="24"/>
          <w:szCs w:val="24"/>
        </w:rPr>
        <w:lastRenderedPageBreak/>
        <w:t>W</w:t>
      </w:r>
      <w:r w:rsidR="000345BE" w:rsidRPr="00AA7AA3">
        <w:rPr>
          <w:rFonts w:ascii="Gill Sans MT" w:hAnsi="Gill Sans MT" w:cstheme="minorHAnsi"/>
          <w:sz w:val="24"/>
          <w:szCs w:val="24"/>
        </w:rPr>
        <w:t>ith hindsight</w:t>
      </w:r>
      <w:r>
        <w:rPr>
          <w:rFonts w:ascii="Gill Sans MT" w:hAnsi="Gill Sans MT" w:cstheme="minorHAnsi"/>
          <w:sz w:val="24"/>
          <w:szCs w:val="24"/>
        </w:rPr>
        <w:t xml:space="preserve">, the almost a decade </w:t>
      </w:r>
      <w:r w:rsidR="00B207F4">
        <w:rPr>
          <w:rFonts w:ascii="Gill Sans MT" w:hAnsi="Gill Sans MT" w:cstheme="minorHAnsi"/>
          <w:sz w:val="24"/>
          <w:szCs w:val="24"/>
        </w:rPr>
        <w:t>old</w:t>
      </w:r>
      <w:r w:rsidR="000345BE" w:rsidRPr="00AA7AA3">
        <w:rPr>
          <w:rFonts w:ascii="Gill Sans MT" w:hAnsi="Gill Sans MT" w:cstheme="minorHAnsi"/>
          <w:sz w:val="24"/>
          <w:szCs w:val="24"/>
        </w:rPr>
        <w:t xml:space="preserve"> prediction of the</w:t>
      </w:r>
      <w:r w:rsidR="001157FF" w:rsidRPr="00AA7AA3">
        <w:rPr>
          <w:rFonts w:ascii="Gill Sans MT" w:hAnsi="Gill Sans MT" w:cstheme="minorHAnsi"/>
          <w:sz w:val="24"/>
          <w:szCs w:val="24"/>
        </w:rPr>
        <w:t xml:space="preserve"> ‘</w:t>
      </w:r>
      <w:r w:rsidR="001157FF" w:rsidRPr="00AA7AA3">
        <w:rPr>
          <w:rFonts w:ascii="Gill Sans MT" w:hAnsi="Gill Sans MT" w:cstheme="minorHAnsi"/>
          <w:i/>
          <w:sz w:val="24"/>
          <w:szCs w:val="24"/>
        </w:rPr>
        <w:t>Ahead of the Game</w:t>
      </w:r>
      <w:r w:rsidR="000345BE" w:rsidRPr="00AA7AA3">
        <w:rPr>
          <w:rFonts w:ascii="Gill Sans MT" w:hAnsi="Gill Sans MT" w:cstheme="minorHAnsi"/>
          <w:sz w:val="24"/>
          <w:szCs w:val="24"/>
        </w:rPr>
        <w:t>’ report that</w:t>
      </w:r>
      <w:r w:rsidR="001157FF" w:rsidRPr="00AA7AA3">
        <w:rPr>
          <w:rFonts w:ascii="Gill Sans MT" w:hAnsi="Gill Sans MT" w:cstheme="minorHAnsi"/>
          <w:sz w:val="24"/>
          <w:szCs w:val="24"/>
        </w:rPr>
        <w:t xml:space="preserve"> the </w:t>
      </w:r>
      <w:r w:rsidR="00E74009">
        <w:rPr>
          <w:rFonts w:ascii="Gill Sans MT" w:hAnsi="Gill Sans MT" w:cstheme="minorHAnsi"/>
          <w:sz w:val="24"/>
          <w:szCs w:val="24"/>
        </w:rPr>
        <w:t>APS</w:t>
      </w:r>
      <w:r w:rsidR="001157FF" w:rsidRPr="00AA7AA3">
        <w:rPr>
          <w:rFonts w:ascii="Gill Sans MT" w:hAnsi="Gill Sans MT" w:cstheme="minorHAnsi"/>
          <w:sz w:val="24"/>
          <w:szCs w:val="24"/>
        </w:rPr>
        <w:t xml:space="preserve"> would face organisational challenges such as “</w:t>
      </w:r>
      <w:r w:rsidR="001157FF" w:rsidRPr="00AA7AA3">
        <w:rPr>
          <w:rFonts w:ascii="Gill Sans MT" w:hAnsi="Gill Sans MT" w:cstheme="minorHAnsi"/>
          <w:i/>
          <w:sz w:val="24"/>
          <w:szCs w:val="24"/>
        </w:rPr>
        <w:t>rising citizen expectations of government, rapid technological change, tight fiscal pressures, increasing pressure to deliver in restricted timeframes and a tightening labour market that will place greater pressure on the APS to attract and retain the best employees</w:t>
      </w:r>
      <w:r w:rsidR="001157FF" w:rsidRPr="00AA7AA3">
        <w:rPr>
          <w:rFonts w:ascii="Gill Sans MT" w:hAnsi="Gill Sans MT" w:cstheme="minorHAnsi"/>
          <w:sz w:val="24"/>
          <w:szCs w:val="24"/>
        </w:rPr>
        <w:t>”</w:t>
      </w:r>
      <w:r w:rsidR="00086BD2" w:rsidRPr="00AA7AA3">
        <w:rPr>
          <w:rStyle w:val="FootnoteReference"/>
          <w:rFonts w:ascii="Gill Sans MT" w:hAnsi="Gill Sans MT" w:cstheme="minorHAnsi"/>
          <w:sz w:val="24"/>
          <w:szCs w:val="24"/>
        </w:rPr>
        <w:footnoteReference w:id="3"/>
      </w:r>
      <w:r w:rsidR="001157FF" w:rsidRPr="00AA7AA3">
        <w:rPr>
          <w:rFonts w:ascii="Gill Sans MT" w:hAnsi="Gill Sans MT" w:cstheme="minorHAnsi"/>
          <w:sz w:val="24"/>
          <w:szCs w:val="24"/>
        </w:rPr>
        <w:t xml:space="preserve"> </w:t>
      </w:r>
      <w:r w:rsidR="000345BE" w:rsidRPr="00AA7AA3">
        <w:rPr>
          <w:rFonts w:ascii="Gill Sans MT" w:hAnsi="Gill Sans MT" w:cstheme="minorHAnsi"/>
          <w:sz w:val="24"/>
          <w:szCs w:val="24"/>
        </w:rPr>
        <w:t>has proven to be quite prescient</w:t>
      </w:r>
      <w:r w:rsidR="001157FF" w:rsidRPr="00AA7AA3">
        <w:rPr>
          <w:rFonts w:ascii="Gill Sans MT" w:hAnsi="Gill Sans MT" w:cstheme="minorHAnsi"/>
          <w:sz w:val="24"/>
          <w:szCs w:val="24"/>
        </w:rPr>
        <w:t>.</w:t>
      </w:r>
    </w:p>
    <w:p w14:paraId="04C09647" w14:textId="7065970B" w:rsidR="00DB0CA4" w:rsidRPr="00AA7AA3" w:rsidRDefault="00503D80" w:rsidP="00214658">
      <w:pPr>
        <w:spacing w:before="360"/>
        <w:rPr>
          <w:rFonts w:ascii="Gill Sans MT" w:hAnsi="Gill Sans MT" w:cstheme="minorHAnsi"/>
          <w:b/>
          <w:sz w:val="24"/>
          <w:szCs w:val="24"/>
        </w:rPr>
      </w:pPr>
      <w:r w:rsidRPr="00AA7AA3">
        <w:rPr>
          <w:rFonts w:ascii="Gill Sans MT" w:hAnsi="Gill Sans MT" w:cstheme="minorHAnsi"/>
          <w:b/>
          <w:sz w:val="24"/>
          <w:szCs w:val="24"/>
        </w:rPr>
        <w:t>EVALUATION</w:t>
      </w:r>
      <w:r w:rsidR="00743A27" w:rsidRPr="00AA7AA3">
        <w:rPr>
          <w:rFonts w:ascii="Gill Sans MT" w:hAnsi="Gill Sans MT" w:cstheme="minorHAnsi"/>
          <w:b/>
          <w:sz w:val="24"/>
          <w:szCs w:val="24"/>
        </w:rPr>
        <w:t xml:space="preserve"> </w:t>
      </w:r>
      <w:r w:rsidR="00D35CBA" w:rsidRPr="00AA7AA3">
        <w:rPr>
          <w:rFonts w:ascii="Gill Sans MT" w:hAnsi="Gill Sans MT" w:cstheme="minorHAnsi"/>
          <w:b/>
          <w:sz w:val="24"/>
          <w:szCs w:val="24"/>
        </w:rPr>
        <w:t xml:space="preserve">AND ITS ROLE </w:t>
      </w:r>
      <w:r w:rsidR="00743A27" w:rsidRPr="00AA7AA3">
        <w:rPr>
          <w:rFonts w:ascii="Gill Sans MT" w:hAnsi="Gill Sans MT" w:cstheme="minorHAnsi"/>
          <w:b/>
          <w:sz w:val="24"/>
          <w:szCs w:val="24"/>
        </w:rPr>
        <w:t xml:space="preserve">IN </w:t>
      </w:r>
      <w:r w:rsidR="00F63E00" w:rsidRPr="00AA7AA3">
        <w:rPr>
          <w:rFonts w:ascii="Gill Sans MT" w:hAnsi="Gill Sans MT" w:cstheme="minorHAnsi"/>
          <w:b/>
          <w:sz w:val="24"/>
          <w:szCs w:val="24"/>
        </w:rPr>
        <w:t xml:space="preserve">CONTRIBUTING TO </w:t>
      </w:r>
      <w:r w:rsidR="000A0C5E" w:rsidRPr="00AA7AA3">
        <w:rPr>
          <w:rFonts w:ascii="Gill Sans MT" w:hAnsi="Gill Sans MT" w:cstheme="minorHAnsi"/>
          <w:b/>
          <w:sz w:val="24"/>
          <w:szCs w:val="24"/>
        </w:rPr>
        <w:t>APPROPRIATE, EFFECTIVE AND EFFICIENT PUBLIC ADMINISTRATION</w:t>
      </w:r>
    </w:p>
    <w:p w14:paraId="67A50090" w14:textId="7069A445" w:rsidR="00D35CBA" w:rsidRPr="00AA7AA3" w:rsidRDefault="00D35CBA" w:rsidP="00214658">
      <w:pPr>
        <w:widowControl w:val="0"/>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 xml:space="preserve">Evaluation encompasses the systematic collection and analysis of information to answer questions, usually about the effectiveness, efficiency and/or appropriateness of an ongoing or completed activity, project, program or policy. </w:t>
      </w:r>
    </w:p>
    <w:p w14:paraId="485DF2D6" w14:textId="46CADFB8" w:rsidR="00D35CBA" w:rsidRPr="00AA7AA3" w:rsidRDefault="00D35CBA" w:rsidP="00214658">
      <w:pPr>
        <w:widowControl w:val="0"/>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 xml:space="preserve">Evaluation answers questions about whether government objectives have been achieved and the extent to which program activities have contributed to its purpose. Through careful data collection (qualitative and/or quantitative) and analysis, evaluation incorporates monitoring and additional complementary descriptive performance information to make assessments, form judgements about success, and inform decisions about future </w:t>
      </w:r>
      <w:r w:rsidR="00C06B12" w:rsidRPr="00AA7AA3">
        <w:rPr>
          <w:rFonts w:ascii="Gill Sans MT" w:hAnsi="Gill Sans MT" w:cstheme="minorHAnsi"/>
          <w:sz w:val="24"/>
          <w:szCs w:val="24"/>
        </w:rPr>
        <w:t>programming</w:t>
      </w:r>
      <w:r w:rsidR="003C55D5" w:rsidRPr="00AA7AA3">
        <w:rPr>
          <w:rFonts w:ascii="Gill Sans MT" w:hAnsi="Gill Sans MT" w:cstheme="minorHAnsi"/>
          <w:sz w:val="24"/>
          <w:szCs w:val="24"/>
        </w:rPr>
        <w:t>, strategic decision making and resource allocation</w:t>
      </w:r>
      <w:r w:rsidRPr="00AA7AA3">
        <w:rPr>
          <w:rFonts w:ascii="Gill Sans MT" w:hAnsi="Gill Sans MT" w:cstheme="minorHAnsi"/>
          <w:sz w:val="24"/>
          <w:szCs w:val="24"/>
        </w:rPr>
        <w:t xml:space="preserve">. </w:t>
      </w:r>
    </w:p>
    <w:p w14:paraId="5739C672" w14:textId="4253F131" w:rsidR="00D35CBA" w:rsidRPr="00AA7AA3" w:rsidRDefault="00D35CBA" w:rsidP="00214658">
      <w:pPr>
        <w:widowControl w:val="0"/>
        <w:tabs>
          <w:tab w:val="left" w:pos="220"/>
          <w:tab w:val="left" w:pos="720"/>
        </w:tabs>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 xml:space="preserve">While evaluation is often used at the end of an activity or program (commonly referred to as summative or impact evaluation), it is also a powerful tool in program design and implementation (referred to as formative evaluation). Evaluation professionals use formal methodologies to provide useful empirical evidence about public entities (such as programs, products, </w:t>
      </w:r>
      <w:r w:rsidR="003A1826">
        <w:rPr>
          <w:rFonts w:ascii="Gill Sans MT" w:hAnsi="Gill Sans MT" w:cstheme="minorHAnsi"/>
          <w:sz w:val="24"/>
          <w:szCs w:val="24"/>
        </w:rPr>
        <w:t xml:space="preserve">or </w:t>
      </w:r>
      <w:r w:rsidRPr="00AA7AA3">
        <w:rPr>
          <w:rFonts w:ascii="Gill Sans MT" w:hAnsi="Gill Sans MT" w:cstheme="minorHAnsi"/>
          <w:sz w:val="24"/>
          <w:szCs w:val="24"/>
        </w:rPr>
        <w:t>performance) in decision-making contexts that are inherently political and involve multiple stakeholders, where resources are seldom sufficient and where time-pressures are salient.</w:t>
      </w:r>
    </w:p>
    <w:p w14:paraId="5E7EE0EC" w14:textId="77777777" w:rsidR="00D35CBA" w:rsidRPr="00AA7AA3" w:rsidRDefault="00D35CBA" w:rsidP="00214658">
      <w:pPr>
        <w:widowControl w:val="0"/>
        <w:tabs>
          <w:tab w:val="left" w:pos="220"/>
          <w:tab w:val="left" w:pos="720"/>
        </w:tabs>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 xml:space="preserve"> Evaluative inquiry therefore can be undertaken across the policy and program life-cycle to: </w:t>
      </w:r>
    </w:p>
    <w:p w14:paraId="4487B1F3" w14:textId="77777777" w:rsidR="00D35CBA" w:rsidRPr="00AA7AA3" w:rsidRDefault="00D35CBA" w:rsidP="00214658">
      <w:pPr>
        <w:pStyle w:val="ListParagraph"/>
        <w:widowControl w:val="0"/>
        <w:numPr>
          <w:ilvl w:val="0"/>
          <w:numId w:val="2"/>
        </w:numPr>
        <w:tabs>
          <w:tab w:val="left" w:pos="220"/>
          <w:tab w:val="left" w:pos="720"/>
        </w:tabs>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help identify and measure the need for a policy or program and to understand best practice</w:t>
      </w:r>
    </w:p>
    <w:p w14:paraId="24C2868E" w14:textId="77777777" w:rsidR="00D35CBA" w:rsidRPr="00AA7AA3" w:rsidRDefault="00D35CBA" w:rsidP="00214658">
      <w:pPr>
        <w:pStyle w:val="ListParagraph"/>
        <w:widowControl w:val="0"/>
        <w:numPr>
          <w:ilvl w:val="0"/>
          <w:numId w:val="2"/>
        </w:numPr>
        <w:tabs>
          <w:tab w:val="left" w:pos="220"/>
          <w:tab w:val="left" w:pos="720"/>
        </w:tabs>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 xml:space="preserve">clarify and strengthen policy and program conceptualisation and design (including what the expected key activities, outputs and outcomes are, when these are expected to occur and in what sequence, and what data is needed to measure these) </w:t>
      </w:r>
    </w:p>
    <w:p w14:paraId="55B0AFCE" w14:textId="77777777" w:rsidR="00D35CBA" w:rsidRPr="00AA7AA3" w:rsidRDefault="00D35CBA" w:rsidP="00214658">
      <w:pPr>
        <w:pStyle w:val="ListParagraph"/>
        <w:widowControl w:val="0"/>
        <w:numPr>
          <w:ilvl w:val="0"/>
          <w:numId w:val="2"/>
        </w:numPr>
        <w:tabs>
          <w:tab w:val="left" w:pos="220"/>
          <w:tab w:val="left" w:pos="720"/>
        </w:tabs>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support implementation by testing fidelity (process) and identifying opportunities for improvement during roll-out</w:t>
      </w:r>
    </w:p>
    <w:p w14:paraId="765550D8" w14:textId="54D33957" w:rsidR="00D35CBA" w:rsidRPr="00AA7AA3" w:rsidRDefault="00D35CBA" w:rsidP="00214658">
      <w:pPr>
        <w:pStyle w:val="ListParagraph"/>
        <w:widowControl w:val="0"/>
        <w:numPr>
          <w:ilvl w:val="0"/>
          <w:numId w:val="2"/>
        </w:numPr>
        <w:tabs>
          <w:tab w:val="left" w:pos="220"/>
          <w:tab w:val="left" w:pos="720"/>
        </w:tabs>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inform ongoing program management</w:t>
      </w:r>
      <w:r w:rsidR="008F7DED" w:rsidRPr="00AA7AA3">
        <w:rPr>
          <w:rFonts w:ascii="Gill Sans MT" w:hAnsi="Gill Sans MT" w:cstheme="minorHAnsi"/>
          <w:sz w:val="24"/>
          <w:szCs w:val="24"/>
        </w:rPr>
        <w:t xml:space="preserve"> and accountability/measurement</w:t>
      </w:r>
      <w:r w:rsidRPr="00AA7AA3">
        <w:rPr>
          <w:rFonts w:ascii="Gill Sans MT" w:hAnsi="Gill Sans MT" w:cstheme="minorHAnsi"/>
          <w:sz w:val="24"/>
          <w:szCs w:val="24"/>
        </w:rPr>
        <w:t xml:space="preserve"> by identifying and producing sound data and indicators</w:t>
      </w:r>
    </w:p>
    <w:p w14:paraId="420B5499" w14:textId="78896DD9" w:rsidR="00D35CBA" w:rsidRPr="00AA7AA3" w:rsidRDefault="00D35CBA" w:rsidP="00214658">
      <w:pPr>
        <w:pStyle w:val="ListParagraph"/>
        <w:widowControl w:val="0"/>
        <w:numPr>
          <w:ilvl w:val="0"/>
          <w:numId w:val="2"/>
        </w:numPr>
        <w:tabs>
          <w:tab w:val="left" w:pos="220"/>
          <w:tab w:val="left" w:pos="720"/>
        </w:tabs>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identify the outcomes, impacts effectiveness, efficiency and lessons learned of the policy and program.</w:t>
      </w:r>
    </w:p>
    <w:p w14:paraId="3FC86F24" w14:textId="2699D01A" w:rsidR="00D35CBA" w:rsidRPr="00AA7AA3" w:rsidRDefault="00D35CBA" w:rsidP="00214658">
      <w:pPr>
        <w:widowControl w:val="0"/>
        <w:tabs>
          <w:tab w:val="left" w:pos="220"/>
          <w:tab w:val="left" w:pos="720"/>
        </w:tabs>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When it operates across the program and policy life-cycle</w:t>
      </w:r>
      <w:r w:rsidR="005E3691">
        <w:rPr>
          <w:rFonts w:ascii="Gill Sans MT" w:hAnsi="Gill Sans MT" w:cstheme="minorHAnsi"/>
          <w:sz w:val="24"/>
          <w:szCs w:val="24"/>
        </w:rPr>
        <w:t>—</w:t>
      </w:r>
      <w:r w:rsidR="00ED16CD" w:rsidRPr="00AA7AA3">
        <w:rPr>
          <w:rFonts w:ascii="Gill Sans MT" w:hAnsi="Gill Sans MT" w:cstheme="minorHAnsi"/>
          <w:sz w:val="24"/>
          <w:szCs w:val="24"/>
        </w:rPr>
        <w:t>and particularly when planned strategically across an agency or portfolio</w:t>
      </w:r>
      <w:r w:rsidR="005E3691">
        <w:rPr>
          <w:rFonts w:ascii="Gill Sans MT" w:hAnsi="Gill Sans MT" w:cstheme="minorHAnsi"/>
          <w:sz w:val="24"/>
          <w:szCs w:val="24"/>
        </w:rPr>
        <w:t>—</w:t>
      </w:r>
      <w:r w:rsidRPr="00AA7AA3">
        <w:rPr>
          <w:rFonts w:ascii="Gill Sans MT" w:hAnsi="Gill Sans MT" w:cstheme="minorHAnsi"/>
          <w:sz w:val="24"/>
          <w:szCs w:val="24"/>
        </w:rPr>
        <w:t xml:space="preserve">evaluation makes a significant contribution to an entity’s performance framework, contributing to the development of its underlying </w:t>
      </w:r>
      <w:r w:rsidRPr="00AA7AA3">
        <w:rPr>
          <w:rFonts w:ascii="Gill Sans MT" w:hAnsi="Gill Sans MT" w:cstheme="minorHAnsi"/>
          <w:sz w:val="24"/>
          <w:szCs w:val="24"/>
        </w:rPr>
        <w:lastRenderedPageBreak/>
        <w:t xml:space="preserve">architecture, as well as contributing to the delivery of knowledge, evidence and performance information. This enables entities to ascertain and report on the level to which they are achieving their purpose. </w:t>
      </w:r>
    </w:p>
    <w:p w14:paraId="6C8DAF31" w14:textId="26319A24" w:rsidR="000B4C2E" w:rsidRPr="00AA7AA3" w:rsidRDefault="005764AC" w:rsidP="00214658">
      <w:pPr>
        <w:widowControl w:val="0"/>
        <w:autoSpaceDE w:val="0"/>
        <w:autoSpaceDN w:val="0"/>
        <w:adjustRightInd w:val="0"/>
        <w:spacing w:after="240"/>
        <w:rPr>
          <w:rFonts w:ascii="Gill Sans MT" w:hAnsi="Gill Sans MT" w:cstheme="minorHAnsi"/>
          <w:sz w:val="24"/>
          <w:szCs w:val="24"/>
        </w:rPr>
      </w:pPr>
      <w:r>
        <w:rPr>
          <w:rFonts w:ascii="Gill Sans MT" w:hAnsi="Gill Sans MT" w:cstheme="minorHAnsi"/>
          <w:sz w:val="24"/>
          <w:szCs w:val="24"/>
        </w:rPr>
        <w:t>E</w:t>
      </w:r>
      <w:r w:rsidR="00F63E00" w:rsidRPr="00AA7AA3">
        <w:rPr>
          <w:rFonts w:ascii="Gill Sans MT" w:hAnsi="Gill Sans MT" w:cstheme="minorHAnsi"/>
          <w:sz w:val="24"/>
          <w:szCs w:val="24"/>
        </w:rPr>
        <w:t>valuation</w:t>
      </w:r>
      <w:r>
        <w:rPr>
          <w:rFonts w:ascii="Gill Sans MT" w:hAnsi="Gill Sans MT" w:cstheme="minorHAnsi"/>
          <w:sz w:val="24"/>
          <w:szCs w:val="24"/>
        </w:rPr>
        <w:t>’s role</w:t>
      </w:r>
      <w:r w:rsidR="00F63E00" w:rsidRPr="00AA7AA3">
        <w:rPr>
          <w:rFonts w:ascii="Gill Sans MT" w:hAnsi="Gill Sans MT" w:cstheme="minorHAnsi"/>
          <w:sz w:val="24"/>
          <w:szCs w:val="24"/>
        </w:rPr>
        <w:t xml:space="preserve"> in an effective public sector has long standing recognition. </w:t>
      </w:r>
      <w:r w:rsidR="000A0C5E" w:rsidRPr="00AA7AA3">
        <w:rPr>
          <w:rFonts w:ascii="Gill Sans MT" w:hAnsi="Gill Sans MT" w:cstheme="minorHAnsi"/>
          <w:sz w:val="24"/>
          <w:szCs w:val="24"/>
        </w:rPr>
        <w:t>T</w:t>
      </w:r>
      <w:r w:rsidR="00F63E00" w:rsidRPr="00AA7AA3">
        <w:rPr>
          <w:rFonts w:ascii="Gill Sans MT" w:hAnsi="Gill Sans MT" w:cstheme="minorHAnsi"/>
          <w:sz w:val="24"/>
          <w:szCs w:val="24"/>
        </w:rPr>
        <w:t xml:space="preserve">he </w:t>
      </w:r>
      <w:r w:rsidR="000A0C5E" w:rsidRPr="00AA7AA3">
        <w:rPr>
          <w:rFonts w:ascii="Gill Sans MT" w:hAnsi="Gill Sans MT" w:cstheme="minorHAnsi"/>
          <w:sz w:val="24"/>
          <w:szCs w:val="24"/>
        </w:rPr>
        <w:t xml:space="preserve">‘Baume Report’ </w:t>
      </w:r>
      <w:r w:rsidR="00DE5C71">
        <w:rPr>
          <w:rFonts w:ascii="Gill Sans MT" w:hAnsi="Gill Sans MT" w:cstheme="minorHAnsi"/>
          <w:sz w:val="24"/>
          <w:szCs w:val="24"/>
        </w:rPr>
        <w:t>(</w:t>
      </w:r>
      <w:r w:rsidR="000A0C5E" w:rsidRPr="00AA7AA3">
        <w:rPr>
          <w:rFonts w:ascii="Gill Sans MT" w:hAnsi="Gill Sans MT" w:cstheme="minorHAnsi"/>
          <w:sz w:val="24"/>
          <w:szCs w:val="24"/>
        </w:rPr>
        <w:t>1979</w:t>
      </w:r>
      <w:r w:rsidR="00DE5C71">
        <w:rPr>
          <w:rFonts w:ascii="Gill Sans MT" w:hAnsi="Gill Sans MT" w:cstheme="minorHAnsi"/>
          <w:sz w:val="24"/>
          <w:szCs w:val="24"/>
        </w:rPr>
        <w:t>)</w:t>
      </w:r>
      <w:r w:rsidR="000A0C5E" w:rsidRPr="00AA7AA3">
        <w:rPr>
          <w:rFonts w:ascii="Gill Sans MT" w:hAnsi="Gill Sans MT" w:cstheme="minorHAnsi"/>
          <w:sz w:val="24"/>
          <w:szCs w:val="24"/>
        </w:rPr>
        <w:t xml:space="preserve">, more formally known as the Report of the Senate Standing Committee on Social Welfare (SSCSW) </w:t>
      </w:r>
      <w:r w:rsidR="000A0C5E" w:rsidRPr="00AA7AA3">
        <w:rPr>
          <w:rFonts w:ascii="Gill Sans MT" w:hAnsi="Gill Sans MT" w:cstheme="minorHAnsi"/>
          <w:i/>
          <w:sz w:val="24"/>
          <w:szCs w:val="24"/>
        </w:rPr>
        <w:t>'Through a glass, darkly; Evaluation in Australian health and Welfare services</w:t>
      </w:r>
      <w:r w:rsidR="000A0C5E" w:rsidRPr="00AA7AA3">
        <w:rPr>
          <w:rFonts w:ascii="Gill Sans MT" w:hAnsi="Gill Sans MT" w:cstheme="minorHAnsi"/>
          <w:sz w:val="24"/>
          <w:szCs w:val="24"/>
        </w:rPr>
        <w:t>' asserted that “</w:t>
      </w:r>
      <w:r w:rsidR="000A0C5E" w:rsidRPr="00AA7AA3">
        <w:rPr>
          <w:rFonts w:ascii="Gill Sans MT" w:hAnsi="Gill Sans MT" w:cstheme="minorHAnsi"/>
          <w:i/>
          <w:sz w:val="24"/>
          <w:szCs w:val="24"/>
        </w:rPr>
        <w:t>in order to achieve an efficie</w:t>
      </w:r>
      <w:r w:rsidR="000B4C2E" w:rsidRPr="00AA7AA3">
        <w:rPr>
          <w:rFonts w:ascii="Gill Sans MT" w:hAnsi="Gill Sans MT" w:cstheme="minorHAnsi"/>
          <w:i/>
          <w:sz w:val="24"/>
          <w:szCs w:val="24"/>
        </w:rPr>
        <w:t>nt, effective, rational and</w:t>
      </w:r>
      <w:r w:rsidR="000A0C5E" w:rsidRPr="00AA7AA3">
        <w:rPr>
          <w:rFonts w:ascii="Gill Sans MT" w:hAnsi="Gill Sans MT" w:cstheme="minorHAnsi"/>
          <w:i/>
          <w:sz w:val="24"/>
          <w:szCs w:val="24"/>
        </w:rPr>
        <w:t xml:space="preserve"> equitable health and welfare system, it is necessary to conduct ongoing evaluation</w:t>
      </w:r>
      <w:r w:rsidR="000B4C2E" w:rsidRPr="00AA7AA3">
        <w:rPr>
          <w:rFonts w:ascii="Gill Sans MT" w:hAnsi="Gill Sans MT" w:cstheme="minorHAnsi"/>
          <w:sz w:val="24"/>
          <w:szCs w:val="24"/>
        </w:rPr>
        <w:t>.”</w:t>
      </w:r>
      <w:r w:rsidR="007D4A0E" w:rsidRPr="00AA7AA3">
        <w:rPr>
          <w:rStyle w:val="FootnoteReference"/>
          <w:rFonts w:ascii="Gill Sans MT" w:hAnsi="Gill Sans MT" w:cstheme="minorHAnsi"/>
          <w:sz w:val="24"/>
          <w:szCs w:val="24"/>
        </w:rPr>
        <w:footnoteReference w:id="4"/>
      </w:r>
    </w:p>
    <w:p w14:paraId="2BA73531" w14:textId="34D2155B" w:rsidR="000B4C2E" w:rsidRPr="00AA7AA3" w:rsidRDefault="000B4C2E" w:rsidP="00214658">
      <w:pPr>
        <w:widowControl w:val="0"/>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More recently, the introduction of the Public Governance</w:t>
      </w:r>
      <w:r w:rsidR="00D35CBA" w:rsidRPr="00AA7AA3">
        <w:rPr>
          <w:rFonts w:ascii="Gill Sans MT" w:hAnsi="Gill Sans MT" w:cstheme="minorHAnsi"/>
          <w:sz w:val="24"/>
          <w:szCs w:val="24"/>
        </w:rPr>
        <w:t xml:space="preserve"> Performance Accountability Act 2013</w:t>
      </w:r>
      <w:r w:rsidR="00300DBF">
        <w:rPr>
          <w:rFonts w:ascii="Gill Sans MT" w:hAnsi="Gill Sans MT" w:cstheme="minorHAnsi"/>
          <w:sz w:val="24"/>
          <w:szCs w:val="24"/>
        </w:rPr>
        <w:t xml:space="preserve"> (PGPA)</w:t>
      </w:r>
      <w:r w:rsidR="00D35CBA" w:rsidRPr="00AA7AA3">
        <w:rPr>
          <w:rFonts w:ascii="Gill Sans MT" w:hAnsi="Gill Sans MT" w:cstheme="minorHAnsi"/>
          <w:sz w:val="24"/>
          <w:szCs w:val="24"/>
        </w:rPr>
        <w:t xml:space="preserve"> has identified a key role for evaluation in enabling effective governance, performance, reporting and accountability of Commonwealth entities. This</w:t>
      </w:r>
      <w:r w:rsidRPr="00AA7AA3">
        <w:rPr>
          <w:rFonts w:ascii="Gill Sans MT" w:hAnsi="Gill Sans MT" w:cstheme="minorHAnsi"/>
          <w:sz w:val="24"/>
          <w:szCs w:val="24"/>
        </w:rPr>
        <w:t xml:space="preserve"> was emphasised from the outset in the PGPA Act’s explanatory memorandum:</w:t>
      </w:r>
    </w:p>
    <w:p w14:paraId="48B068AD" w14:textId="4940C1C8" w:rsidR="000B4C2E" w:rsidRPr="00AA7AA3" w:rsidRDefault="000B4C2E" w:rsidP="00214658">
      <w:pPr>
        <w:widowControl w:val="0"/>
        <w:tabs>
          <w:tab w:val="left" w:pos="220"/>
          <w:tab w:val="left" w:pos="720"/>
        </w:tabs>
        <w:autoSpaceDE w:val="0"/>
        <w:autoSpaceDN w:val="0"/>
        <w:adjustRightInd w:val="0"/>
        <w:spacing w:after="240"/>
        <w:ind w:left="450"/>
        <w:rPr>
          <w:rFonts w:ascii="Gill Sans MT" w:eastAsia="Times New Roman" w:hAnsi="Gill Sans MT" w:cstheme="minorHAnsi"/>
          <w:i/>
          <w:iCs/>
          <w:color w:val="212121"/>
          <w:sz w:val="24"/>
          <w:szCs w:val="24"/>
        </w:rPr>
      </w:pPr>
      <w:r w:rsidRPr="00AA7AA3">
        <w:rPr>
          <w:rFonts w:ascii="Gill Sans MT" w:eastAsia="Times New Roman" w:hAnsi="Gill Sans MT" w:cstheme="minorHAnsi"/>
          <w:i/>
          <w:iCs/>
          <w:color w:val="212121"/>
          <w:sz w:val="24"/>
          <w:szCs w:val="24"/>
        </w:rPr>
        <w:t>“….and future elements of the CFAR</w:t>
      </w:r>
      <w:r w:rsidR="007F1C76" w:rsidRPr="00AA7AA3">
        <w:rPr>
          <w:rStyle w:val="FootnoteReference"/>
          <w:rFonts w:ascii="Gill Sans MT" w:eastAsia="Times New Roman" w:hAnsi="Gill Sans MT" w:cstheme="minorHAnsi"/>
          <w:i/>
          <w:iCs/>
          <w:color w:val="212121"/>
          <w:sz w:val="24"/>
          <w:szCs w:val="24"/>
        </w:rPr>
        <w:footnoteReference w:id="5"/>
      </w:r>
      <w:r w:rsidRPr="00AA7AA3">
        <w:rPr>
          <w:rFonts w:ascii="Gill Sans MT" w:eastAsia="Times New Roman" w:hAnsi="Gill Sans MT" w:cstheme="minorHAnsi"/>
          <w:i/>
          <w:iCs/>
          <w:color w:val="212121"/>
          <w:sz w:val="24"/>
          <w:szCs w:val="24"/>
        </w:rPr>
        <w:t xml:space="preserve"> reforms, will seek to link the key elements of resource management so that there is a clear cycle of planning, measuring, evaluating and reporting of results to the Parliament, Ministers and the public. </w:t>
      </w:r>
    </w:p>
    <w:p w14:paraId="32AC8074" w14:textId="723051E7" w:rsidR="000B4C2E" w:rsidRPr="00AA7AA3" w:rsidRDefault="000B4C2E" w:rsidP="00214658">
      <w:pPr>
        <w:widowControl w:val="0"/>
        <w:tabs>
          <w:tab w:val="left" w:pos="220"/>
          <w:tab w:val="left" w:pos="720"/>
        </w:tabs>
        <w:autoSpaceDE w:val="0"/>
        <w:autoSpaceDN w:val="0"/>
        <w:adjustRightInd w:val="0"/>
        <w:spacing w:after="240"/>
        <w:ind w:left="450"/>
        <w:rPr>
          <w:rFonts w:ascii="Gill Sans MT" w:hAnsi="Gill Sans MT" w:cstheme="minorHAnsi"/>
          <w:sz w:val="24"/>
          <w:szCs w:val="24"/>
        </w:rPr>
      </w:pPr>
      <w:r w:rsidRPr="00AA7AA3">
        <w:rPr>
          <w:rFonts w:ascii="Gill Sans MT" w:eastAsia="Times New Roman" w:hAnsi="Gill Sans MT" w:cstheme="minorHAnsi"/>
          <w:i/>
          <w:iCs/>
          <w:color w:val="212121"/>
          <w:sz w:val="24"/>
          <w:szCs w:val="24"/>
        </w:rPr>
        <w:t xml:space="preserve">51. The PGPA Bill does this by:  explicitly recognising the high-level stages of the resource management </w:t>
      </w:r>
      <w:r w:rsidR="008A4217" w:rsidRPr="00AA7AA3">
        <w:rPr>
          <w:rFonts w:ascii="Gill Sans MT" w:eastAsia="Times New Roman" w:hAnsi="Gill Sans MT" w:cstheme="minorHAnsi"/>
          <w:i/>
          <w:iCs/>
          <w:color w:val="212121"/>
          <w:sz w:val="24"/>
          <w:szCs w:val="24"/>
        </w:rPr>
        <w:t>cycle; recognising</w:t>
      </w:r>
      <w:r w:rsidRPr="00AA7AA3">
        <w:rPr>
          <w:rFonts w:ascii="Gill Sans MT" w:eastAsia="Times New Roman" w:hAnsi="Gill Sans MT" w:cstheme="minorHAnsi"/>
          <w:i/>
          <w:iCs/>
          <w:color w:val="212121"/>
          <w:sz w:val="24"/>
          <w:szCs w:val="24"/>
        </w:rPr>
        <w:t xml:space="preserve"> the value of clearly articulating key priorities and </w:t>
      </w:r>
      <w:r w:rsidR="008A4217" w:rsidRPr="00AA7AA3">
        <w:rPr>
          <w:rFonts w:ascii="Gill Sans MT" w:eastAsia="Times New Roman" w:hAnsi="Gill Sans MT" w:cstheme="minorHAnsi"/>
          <w:i/>
          <w:iCs/>
          <w:color w:val="212121"/>
          <w:sz w:val="24"/>
          <w:szCs w:val="24"/>
        </w:rPr>
        <w:t>objectives; requiring</w:t>
      </w:r>
      <w:r w:rsidRPr="00AA7AA3">
        <w:rPr>
          <w:rFonts w:ascii="Gill Sans MT" w:eastAsia="Times New Roman" w:hAnsi="Gill Sans MT" w:cstheme="minorHAnsi"/>
          <w:i/>
          <w:iCs/>
          <w:color w:val="212121"/>
          <w:sz w:val="24"/>
          <w:szCs w:val="24"/>
        </w:rPr>
        <w:t xml:space="preserve"> every Commonwealth entity to develop corporate </w:t>
      </w:r>
      <w:r w:rsidR="008A4217" w:rsidRPr="00AA7AA3">
        <w:rPr>
          <w:rFonts w:ascii="Gill Sans MT" w:eastAsia="Times New Roman" w:hAnsi="Gill Sans MT" w:cstheme="minorHAnsi"/>
          <w:i/>
          <w:iCs/>
          <w:color w:val="212121"/>
          <w:sz w:val="24"/>
          <w:szCs w:val="24"/>
        </w:rPr>
        <w:t>plans; introducing</w:t>
      </w:r>
      <w:r w:rsidRPr="00AA7AA3">
        <w:rPr>
          <w:rFonts w:ascii="Gill Sans MT" w:eastAsia="Times New Roman" w:hAnsi="Gill Sans MT" w:cstheme="minorHAnsi"/>
          <w:i/>
          <w:iCs/>
          <w:color w:val="212121"/>
          <w:sz w:val="24"/>
          <w:szCs w:val="24"/>
        </w:rPr>
        <w:t xml:space="preserve"> a framework for measuring and assessing performance, including requiring effective monitoring and evaluation; and maintaining the rigorous audit arrangements currently in place.”</w:t>
      </w:r>
    </w:p>
    <w:p w14:paraId="1EC8A02F" w14:textId="37C9ED08" w:rsidR="000B4C2E" w:rsidRPr="00AA7AA3" w:rsidRDefault="00DB3773" w:rsidP="00214658">
      <w:pPr>
        <w:widowControl w:val="0"/>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 xml:space="preserve">In addition to the Department of Finance (through its Resource Management Guides and public presentations) </w:t>
      </w:r>
      <w:r w:rsidR="00EC2838" w:rsidRPr="00AA7AA3">
        <w:rPr>
          <w:rFonts w:ascii="Gill Sans MT" w:hAnsi="Gill Sans MT" w:cstheme="minorHAnsi"/>
          <w:sz w:val="24"/>
          <w:szCs w:val="24"/>
        </w:rPr>
        <w:t xml:space="preserve">and </w:t>
      </w:r>
      <w:r w:rsidRPr="00AA7AA3">
        <w:rPr>
          <w:rFonts w:ascii="Gill Sans MT" w:hAnsi="Gill Sans MT" w:cstheme="minorHAnsi"/>
          <w:sz w:val="24"/>
          <w:szCs w:val="24"/>
        </w:rPr>
        <w:t xml:space="preserve">the broader literature, this contribution has also been highlighted in </w:t>
      </w:r>
      <w:r w:rsidR="002421F2">
        <w:rPr>
          <w:rFonts w:ascii="Gill Sans MT" w:hAnsi="Gill Sans MT" w:cstheme="minorHAnsi"/>
          <w:sz w:val="24"/>
          <w:szCs w:val="24"/>
        </w:rPr>
        <w:t>international</w:t>
      </w:r>
      <w:r w:rsidRPr="00AA7AA3">
        <w:rPr>
          <w:rFonts w:ascii="Gill Sans MT" w:hAnsi="Gill Sans MT" w:cstheme="minorHAnsi"/>
          <w:sz w:val="24"/>
          <w:szCs w:val="24"/>
        </w:rPr>
        <w:t xml:space="preserve"> initiatives such as the Sustainable Development Goals</w:t>
      </w:r>
      <w:r w:rsidR="00D01EC8">
        <w:rPr>
          <w:rFonts w:ascii="Gill Sans MT" w:hAnsi="Gill Sans MT" w:cstheme="minorHAnsi"/>
          <w:sz w:val="24"/>
          <w:szCs w:val="24"/>
        </w:rPr>
        <w:t xml:space="preserve"> (SDGs)</w:t>
      </w:r>
      <w:r w:rsidRPr="00AA7AA3">
        <w:rPr>
          <w:rFonts w:ascii="Gill Sans MT" w:hAnsi="Gill Sans MT" w:cstheme="minorHAnsi"/>
          <w:sz w:val="24"/>
          <w:szCs w:val="24"/>
        </w:rPr>
        <w:t xml:space="preserve"> and the 2030 Agenda for Sustainable Development, which stress the importance of national-led evaluations. </w:t>
      </w:r>
    </w:p>
    <w:p w14:paraId="6C00E4A9" w14:textId="5A52A5DE" w:rsidR="00142362" w:rsidRPr="00AA7AA3" w:rsidRDefault="005E59F2" w:rsidP="00214658">
      <w:pPr>
        <w:rPr>
          <w:rFonts w:ascii="Gill Sans MT" w:hAnsi="Gill Sans MT" w:cstheme="minorHAnsi"/>
          <w:sz w:val="24"/>
          <w:szCs w:val="24"/>
        </w:rPr>
      </w:pPr>
      <w:r w:rsidRPr="00AA7AA3">
        <w:rPr>
          <w:rFonts w:ascii="Gill Sans MT" w:hAnsi="Gill Sans MT" w:cstheme="minorHAnsi"/>
          <w:sz w:val="24"/>
          <w:szCs w:val="24"/>
        </w:rPr>
        <w:t xml:space="preserve">Evaluation has evolved into a profession that requires a </w:t>
      </w:r>
      <w:r w:rsidR="00142362" w:rsidRPr="00AA7AA3">
        <w:rPr>
          <w:rFonts w:ascii="Gill Sans MT" w:hAnsi="Gill Sans MT" w:cstheme="minorHAnsi"/>
          <w:sz w:val="24"/>
          <w:szCs w:val="24"/>
        </w:rPr>
        <w:t>specialist</w:t>
      </w:r>
      <w:r w:rsidRPr="00AA7AA3">
        <w:rPr>
          <w:rFonts w:ascii="Gill Sans MT" w:hAnsi="Gill Sans MT" w:cstheme="minorHAnsi"/>
          <w:sz w:val="24"/>
          <w:szCs w:val="24"/>
        </w:rPr>
        <w:t xml:space="preserve"> skillset</w:t>
      </w:r>
      <w:r w:rsidR="00E52844" w:rsidRPr="00AA7AA3">
        <w:rPr>
          <w:rFonts w:ascii="Gill Sans MT" w:hAnsi="Gill Sans MT" w:cstheme="minorHAnsi"/>
          <w:sz w:val="24"/>
          <w:szCs w:val="24"/>
        </w:rPr>
        <w:t xml:space="preserve"> that is separate from other disciplines</w:t>
      </w:r>
      <w:r w:rsidRPr="00AA7AA3">
        <w:rPr>
          <w:rFonts w:ascii="Gill Sans MT" w:hAnsi="Gill Sans MT" w:cstheme="minorHAnsi"/>
          <w:sz w:val="24"/>
          <w:szCs w:val="24"/>
        </w:rPr>
        <w:t xml:space="preserve">. This is reflected by </w:t>
      </w:r>
      <w:r w:rsidR="00142362" w:rsidRPr="00AA7AA3">
        <w:rPr>
          <w:rFonts w:ascii="Gill Sans MT" w:hAnsi="Gill Sans MT" w:cstheme="minorHAnsi"/>
          <w:sz w:val="24"/>
          <w:szCs w:val="24"/>
        </w:rPr>
        <w:t xml:space="preserve">many national and international associations establishing competency frameworks. In Australia, the AES </w:t>
      </w:r>
      <w:r w:rsidR="00142362" w:rsidRPr="00501511">
        <w:rPr>
          <w:rFonts w:ascii="Gill Sans MT" w:hAnsi="Gill Sans MT" w:cstheme="minorHAnsi"/>
          <w:i/>
          <w:sz w:val="24"/>
          <w:szCs w:val="24"/>
        </w:rPr>
        <w:t>Evaluators</w:t>
      </w:r>
      <w:r w:rsidR="00382064">
        <w:rPr>
          <w:rFonts w:ascii="Gill Sans MT" w:hAnsi="Gill Sans MT" w:cstheme="minorHAnsi"/>
          <w:i/>
          <w:sz w:val="24"/>
          <w:szCs w:val="24"/>
        </w:rPr>
        <w:t>’</w:t>
      </w:r>
      <w:r w:rsidR="00142362" w:rsidRPr="00501511">
        <w:rPr>
          <w:rFonts w:ascii="Gill Sans MT" w:hAnsi="Gill Sans MT" w:cstheme="minorHAnsi"/>
          <w:i/>
          <w:sz w:val="24"/>
          <w:szCs w:val="24"/>
        </w:rPr>
        <w:t xml:space="preserve"> Professional Learning Competency Framework</w:t>
      </w:r>
      <w:r w:rsidR="00142362" w:rsidRPr="00AA7AA3">
        <w:rPr>
          <w:rStyle w:val="FootnoteReference"/>
          <w:rFonts w:ascii="Gill Sans MT" w:hAnsi="Gill Sans MT" w:cstheme="minorHAnsi"/>
          <w:sz w:val="24"/>
          <w:szCs w:val="24"/>
        </w:rPr>
        <w:footnoteReference w:id="6"/>
      </w:r>
      <w:r w:rsidR="00142362" w:rsidRPr="00AA7AA3">
        <w:rPr>
          <w:rFonts w:ascii="Gill Sans MT" w:hAnsi="Gill Sans MT" w:cstheme="minorHAnsi"/>
          <w:sz w:val="24"/>
          <w:szCs w:val="24"/>
        </w:rPr>
        <w:t xml:space="preserve"> identifies seven domains of competence: </w:t>
      </w:r>
    </w:p>
    <w:p w14:paraId="795115C3" w14:textId="77777777" w:rsidR="00142362" w:rsidRPr="00AA7AA3" w:rsidRDefault="00142362" w:rsidP="00214658">
      <w:pPr>
        <w:pStyle w:val="ListParagraph"/>
        <w:numPr>
          <w:ilvl w:val="0"/>
          <w:numId w:val="5"/>
        </w:numPr>
        <w:rPr>
          <w:rFonts w:ascii="Gill Sans MT" w:hAnsi="Gill Sans MT" w:cstheme="minorHAnsi"/>
          <w:sz w:val="24"/>
          <w:szCs w:val="24"/>
        </w:rPr>
      </w:pPr>
      <w:r w:rsidRPr="00AA7AA3">
        <w:rPr>
          <w:rFonts w:ascii="Gill Sans MT" w:hAnsi="Gill Sans MT" w:cstheme="minorHAnsi"/>
          <w:sz w:val="24"/>
          <w:szCs w:val="24"/>
        </w:rPr>
        <w:t xml:space="preserve">Evaluative Attitude and Professional Practice </w:t>
      </w:r>
    </w:p>
    <w:p w14:paraId="36BCC91C" w14:textId="77777777" w:rsidR="00142362" w:rsidRPr="00AA7AA3" w:rsidRDefault="00142362" w:rsidP="00214658">
      <w:pPr>
        <w:pStyle w:val="ListParagraph"/>
        <w:numPr>
          <w:ilvl w:val="0"/>
          <w:numId w:val="5"/>
        </w:numPr>
        <w:rPr>
          <w:rFonts w:ascii="Gill Sans MT" w:hAnsi="Gill Sans MT" w:cstheme="minorHAnsi"/>
          <w:sz w:val="24"/>
          <w:szCs w:val="24"/>
        </w:rPr>
      </w:pPr>
      <w:r w:rsidRPr="00AA7AA3">
        <w:rPr>
          <w:rFonts w:ascii="Gill Sans MT" w:hAnsi="Gill Sans MT" w:cstheme="minorHAnsi"/>
          <w:sz w:val="24"/>
          <w:szCs w:val="24"/>
        </w:rPr>
        <w:t xml:space="preserve">Evaluation Theory </w:t>
      </w:r>
    </w:p>
    <w:p w14:paraId="037C06F9" w14:textId="77777777" w:rsidR="00142362" w:rsidRPr="00AA7AA3" w:rsidRDefault="00142362" w:rsidP="00214658">
      <w:pPr>
        <w:pStyle w:val="ListParagraph"/>
        <w:numPr>
          <w:ilvl w:val="0"/>
          <w:numId w:val="5"/>
        </w:numPr>
        <w:rPr>
          <w:rFonts w:ascii="Gill Sans MT" w:hAnsi="Gill Sans MT" w:cstheme="minorHAnsi"/>
          <w:sz w:val="24"/>
          <w:szCs w:val="24"/>
        </w:rPr>
      </w:pPr>
      <w:r w:rsidRPr="00AA7AA3">
        <w:rPr>
          <w:rFonts w:ascii="Gill Sans MT" w:hAnsi="Gill Sans MT" w:cstheme="minorHAnsi"/>
          <w:sz w:val="24"/>
          <w:szCs w:val="24"/>
        </w:rPr>
        <w:t xml:space="preserve">Culture, Stakeholders and Context </w:t>
      </w:r>
    </w:p>
    <w:p w14:paraId="48244317" w14:textId="77777777" w:rsidR="00142362" w:rsidRPr="00AA7AA3" w:rsidRDefault="00142362" w:rsidP="00214658">
      <w:pPr>
        <w:pStyle w:val="ListParagraph"/>
        <w:numPr>
          <w:ilvl w:val="0"/>
          <w:numId w:val="5"/>
        </w:numPr>
        <w:rPr>
          <w:rFonts w:ascii="Gill Sans MT" w:hAnsi="Gill Sans MT" w:cstheme="minorHAnsi"/>
          <w:sz w:val="24"/>
          <w:szCs w:val="24"/>
        </w:rPr>
      </w:pPr>
      <w:r w:rsidRPr="00AA7AA3">
        <w:rPr>
          <w:rFonts w:ascii="Gill Sans MT" w:hAnsi="Gill Sans MT" w:cstheme="minorHAnsi"/>
          <w:sz w:val="24"/>
          <w:szCs w:val="24"/>
        </w:rPr>
        <w:t xml:space="preserve">Research Methods and Systematic Inquiry </w:t>
      </w:r>
    </w:p>
    <w:p w14:paraId="322EB1E2" w14:textId="77777777" w:rsidR="00142362" w:rsidRPr="00AA7AA3" w:rsidRDefault="00142362" w:rsidP="00214658">
      <w:pPr>
        <w:pStyle w:val="ListParagraph"/>
        <w:numPr>
          <w:ilvl w:val="0"/>
          <w:numId w:val="5"/>
        </w:numPr>
        <w:rPr>
          <w:rFonts w:ascii="Gill Sans MT" w:hAnsi="Gill Sans MT" w:cstheme="minorHAnsi"/>
          <w:sz w:val="24"/>
          <w:szCs w:val="24"/>
        </w:rPr>
      </w:pPr>
      <w:r w:rsidRPr="00AA7AA3">
        <w:rPr>
          <w:rFonts w:ascii="Gill Sans MT" w:hAnsi="Gill Sans MT" w:cstheme="minorHAnsi"/>
          <w:sz w:val="24"/>
          <w:szCs w:val="24"/>
        </w:rPr>
        <w:t xml:space="preserve">Project Management </w:t>
      </w:r>
    </w:p>
    <w:p w14:paraId="38CFABA7" w14:textId="77777777" w:rsidR="00142362" w:rsidRPr="00AA7AA3" w:rsidRDefault="00142362" w:rsidP="00214658">
      <w:pPr>
        <w:pStyle w:val="ListParagraph"/>
        <w:numPr>
          <w:ilvl w:val="0"/>
          <w:numId w:val="5"/>
        </w:numPr>
        <w:rPr>
          <w:rFonts w:ascii="Gill Sans MT" w:hAnsi="Gill Sans MT" w:cstheme="minorHAnsi"/>
          <w:sz w:val="24"/>
          <w:szCs w:val="24"/>
        </w:rPr>
      </w:pPr>
      <w:r w:rsidRPr="00AA7AA3">
        <w:rPr>
          <w:rFonts w:ascii="Gill Sans MT" w:hAnsi="Gill Sans MT" w:cstheme="minorHAnsi"/>
          <w:sz w:val="24"/>
          <w:szCs w:val="24"/>
        </w:rPr>
        <w:lastRenderedPageBreak/>
        <w:t xml:space="preserve">Interpersonal Skills </w:t>
      </w:r>
    </w:p>
    <w:p w14:paraId="137A137D" w14:textId="5DD90872" w:rsidR="005E59F2" w:rsidRPr="00AA7AA3" w:rsidRDefault="00142362" w:rsidP="00214658">
      <w:pPr>
        <w:pStyle w:val="ListParagraph"/>
        <w:numPr>
          <w:ilvl w:val="0"/>
          <w:numId w:val="5"/>
        </w:numPr>
        <w:rPr>
          <w:rFonts w:ascii="Gill Sans MT" w:hAnsi="Gill Sans MT" w:cstheme="minorHAnsi"/>
          <w:sz w:val="24"/>
          <w:szCs w:val="24"/>
        </w:rPr>
      </w:pPr>
      <w:r w:rsidRPr="00AA7AA3">
        <w:rPr>
          <w:rFonts w:ascii="Gill Sans MT" w:hAnsi="Gill Sans MT" w:cstheme="minorHAnsi"/>
          <w:sz w:val="24"/>
          <w:szCs w:val="24"/>
        </w:rPr>
        <w:t>Evaluation Activities</w:t>
      </w:r>
      <w:r w:rsidR="002254B5">
        <w:rPr>
          <w:rFonts w:ascii="Gill Sans MT" w:hAnsi="Gill Sans MT" w:cstheme="minorHAnsi"/>
          <w:sz w:val="24"/>
          <w:szCs w:val="24"/>
        </w:rPr>
        <w:t>.</w:t>
      </w:r>
    </w:p>
    <w:p w14:paraId="2D105D66" w14:textId="4C50DFD1" w:rsidR="00142362" w:rsidRPr="00AA7AA3" w:rsidRDefault="00F20850" w:rsidP="00214658">
      <w:pPr>
        <w:rPr>
          <w:rFonts w:ascii="Gill Sans MT" w:hAnsi="Gill Sans MT" w:cstheme="minorHAnsi"/>
          <w:sz w:val="24"/>
          <w:szCs w:val="24"/>
        </w:rPr>
      </w:pPr>
      <w:r>
        <w:rPr>
          <w:rFonts w:ascii="Gill Sans MT" w:hAnsi="Gill Sans MT" w:cstheme="minorHAnsi"/>
          <w:sz w:val="24"/>
          <w:szCs w:val="24"/>
        </w:rPr>
        <w:t>These domains</w:t>
      </w:r>
      <w:r w:rsidR="00142362" w:rsidRPr="00AA7AA3">
        <w:rPr>
          <w:rFonts w:ascii="Gill Sans MT" w:hAnsi="Gill Sans MT" w:cstheme="minorHAnsi"/>
          <w:sz w:val="24"/>
          <w:szCs w:val="24"/>
        </w:rPr>
        <w:t xml:space="preserve"> </w:t>
      </w:r>
      <w:r w:rsidR="0089525D">
        <w:rPr>
          <w:rFonts w:ascii="Gill Sans MT" w:hAnsi="Gill Sans MT" w:cstheme="minorHAnsi"/>
          <w:sz w:val="24"/>
          <w:szCs w:val="24"/>
        </w:rPr>
        <w:t xml:space="preserve">contain </w:t>
      </w:r>
      <w:r w:rsidR="00D87E7B" w:rsidRPr="00AA7AA3">
        <w:rPr>
          <w:rFonts w:ascii="Gill Sans MT" w:hAnsi="Gill Sans MT" w:cstheme="minorHAnsi"/>
          <w:sz w:val="24"/>
          <w:szCs w:val="24"/>
        </w:rPr>
        <w:t xml:space="preserve">100 individual </w:t>
      </w:r>
      <w:r w:rsidR="00E52844" w:rsidRPr="00AA7AA3">
        <w:rPr>
          <w:rFonts w:ascii="Gill Sans MT" w:hAnsi="Gill Sans MT" w:cstheme="minorHAnsi"/>
          <w:sz w:val="24"/>
          <w:szCs w:val="24"/>
        </w:rPr>
        <w:t>skills.</w:t>
      </w:r>
    </w:p>
    <w:p w14:paraId="0A04EBBC" w14:textId="503717FD" w:rsidR="003655C1" w:rsidRPr="00AA7AA3" w:rsidRDefault="003655C1" w:rsidP="00214658">
      <w:pPr>
        <w:rPr>
          <w:rFonts w:ascii="Gill Sans MT" w:hAnsi="Gill Sans MT" w:cstheme="minorHAnsi"/>
          <w:sz w:val="24"/>
          <w:szCs w:val="24"/>
        </w:rPr>
      </w:pPr>
      <w:r w:rsidRPr="00AA7AA3">
        <w:rPr>
          <w:rFonts w:ascii="Gill Sans MT" w:hAnsi="Gill Sans MT" w:cstheme="minorHAnsi"/>
          <w:sz w:val="24"/>
          <w:szCs w:val="24"/>
        </w:rPr>
        <w:t xml:space="preserve">Evaluation is </w:t>
      </w:r>
      <w:r w:rsidR="00234D9E" w:rsidRPr="00AA7AA3">
        <w:rPr>
          <w:rFonts w:ascii="Gill Sans MT" w:hAnsi="Gill Sans MT" w:cstheme="minorHAnsi"/>
          <w:sz w:val="24"/>
          <w:szCs w:val="24"/>
        </w:rPr>
        <w:t>conducted</w:t>
      </w:r>
      <w:r w:rsidRPr="00AA7AA3">
        <w:rPr>
          <w:rFonts w:ascii="Gill Sans MT" w:hAnsi="Gill Sans MT" w:cstheme="minorHAnsi"/>
          <w:sz w:val="24"/>
          <w:szCs w:val="24"/>
        </w:rPr>
        <w:t xml:space="preserve"> both internally by APS staff and externally for the Australian Government by consultants. </w:t>
      </w:r>
      <w:r w:rsidR="00DF2D8E">
        <w:rPr>
          <w:rFonts w:ascii="Gill Sans MT" w:hAnsi="Gill Sans MT" w:cstheme="minorHAnsi"/>
          <w:sz w:val="24"/>
          <w:szCs w:val="24"/>
        </w:rPr>
        <w:t>I</w:t>
      </w:r>
      <w:r w:rsidR="0085659B" w:rsidRPr="00AA7AA3">
        <w:rPr>
          <w:rFonts w:ascii="Gill Sans MT" w:hAnsi="Gill Sans MT" w:cstheme="minorHAnsi"/>
          <w:sz w:val="24"/>
          <w:szCs w:val="24"/>
        </w:rPr>
        <w:t xml:space="preserve">mpact evaluations </w:t>
      </w:r>
      <w:r w:rsidR="00DF2D8E">
        <w:rPr>
          <w:rFonts w:ascii="Gill Sans MT" w:hAnsi="Gill Sans MT" w:cstheme="minorHAnsi"/>
          <w:sz w:val="24"/>
          <w:szCs w:val="24"/>
        </w:rPr>
        <w:t>have</w:t>
      </w:r>
      <w:r w:rsidR="0085659B" w:rsidRPr="00AA7AA3">
        <w:rPr>
          <w:rFonts w:ascii="Gill Sans MT" w:hAnsi="Gill Sans MT" w:cstheme="minorHAnsi"/>
          <w:sz w:val="24"/>
          <w:szCs w:val="24"/>
        </w:rPr>
        <w:t xml:space="preserve"> invariably </w:t>
      </w:r>
      <w:r w:rsidR="00DF2D8E">
        <w:rPr>
          <w:rFonts w:ascii="Gill Sans MT" w:hAnsi="Gill Sans MT" w:cstheme="minorHAnsi"/>
          <w:sz w:val="24"/>
          <w:szCs w:val="24"/>
        </w:rPr>
        <w:t xml:space="preserve">been </w:t>
      </w:r>
      <w:r w:rsidR="0085659B" w:rsidRPr="00AA7AA3">
        <w:rPr>
          <w:rFonts w:ascii="Gill Sans MT" w:hAnsi="Gill Sans MT" w:cstheme="minorHAnsi"/>
          <w:sz w:val="24"/>
          <w:szCs w:val="24"/>
        </w:rPr>
        <w:t>undertaken externally</w:t>
      </w:r>
      <w:r w:rsidR="00DF2D8E">
        <w:rPr>
          <w:rFonts w:ascii="Gill Sans MT" w:hAnsi="Gill Sans MT" w:cstheme="minorHAnsi"/>
          <w:sz w:val="24"/>
          <w:szCs w:val="24"/>
        </w:rPr>
        <w:t xml:space="preserve"> for several decades</w:t>
      </w:r>
      <w:r w:rsidR="0085659B" w:rsidRPr="00AA7AA3">
        <w:rPr>
          <w:rFonts w:ascii="Gill Sans MT" w:hAnsi="Gill Sans MT" w:cstheme="minorHAnsi"/>
          <w:sz w:val="24"/>
          <w:szCs w:val="24"/>
        </w:rPr>
        <w:t xml:space="preserve">. The </w:t>
      </w:r>
      <w:r w:rsidR="00824CE4" w:rsidRPr="00AA7AA3">
        <w:rPr>
          <w:rFonts w:ascii="Gill Sans MT" w:hAnsi="Gill Sans MT" w:cstheme="minorHAnsi"/>
          <w:sz w:val="24"/>
          <w:szCs w:val="24"/>
        </w:rPr>
        <w:t>reasons for this are</w:t>
      </w:r>
      <w:r w:rsidR="0085659B" w:rsidRPr="00AA7AA3">
        <w:rPr>
          <w:rFonts w:ascii="Gill Sans MT" w:hAnsi="Gill Sans MT" w:cstheme="minorHAnsi"/>
          <w:sz w:val="24"/>
          <w:szCs w:val="24"/>
        </w:rPr>
        <w:t xml:space="preserve"> usually a combination of </w:t>
      </w:r>
      <w:r w:rsidR="00824CE4" w:rsidRPr="00AA7AA3">
        <w:rPr>
          <w:rFonts w:ascii="Gill Sans MT" w:hAnsi="Gill Sans MT" w:cstheme="minorHAnsi"/>
          <w:sz w:val="24"/>
          <w:szCs w:val="24"/>
        </w:rPr>
        <w:t xml:space="preserve">perceived </w:t>
      </w:r>
      <w:r w:rsidR="0085659B" w:rsidRPr="00AA7AA3">
        <w:rPr>
          <w:rFonts w:ascii="Gill Sans MT" w:hAnsi="Gill Sans MT" w:cstheme="minorHAnsi"/>
          <w:sz w:val="24"/>
          <w:szCs w:val="24"/>
        </w:rPr>
        <w:t xml:space="preserve">independence, </w:t>
      </w:r>
      <w:r w:rsidR="00824CE4" w:rsidRPr="00AA7AA3">
        <w:rPr>
          <w:rFonts w:ascii="Gill Sans MT" w:hAnsi="Gill Sans MT" w:cstheme="minorHAnsi"/>
          <w:sz w:val="24"/>
          <w:szCs w:val="24"/>
        </w:rPr>
        <w:t xml:space="preserve">accessing additional </w:t>
      </w:r>
      <w:r w:rsidR="0085659B" w:rsidRPr="00AA7AA3">
        <w:rPr>
          <w:rFonts w:ascii="Gill Sans MT" w:hAnsi="Gill Sans MT" w:cstheme="minorHAnsi"/>
          <w:sz w:val="24"/>
          <w:szCs w:val="24"/>
        </w:rPr>
        <w:t>technical skills (capability) and staff resources (capacity)</w:t>
      </w:r>
      <w:r w:rsidR="00824CE4" w:rsidRPr="00AA7AA3">
        <w:rPr>
          <w:rFonts w:ascii="Gill Sans MT" w:hAnsi="Gill Sans MT" w:cstheme="minorHAnsi"/>
          <w:sz w:val="24"/>
          <w:szCs w:val="24"/>
        </w:rPr>
        <w:t xml:space="preserve">, </w:t>
      </w:r>
      <w:r w:rsidR="00CD0322">
        <w:rPr>
          <w:rFonts w:ascii="Gill Sans MT" w:hAnsi="Gill Sans MT" w:cstheme="minorHAnsi"/>
          <w:sz w:val="24"/>
          <w:szCs w:val="24"/>
        </w:rPr>
        <w:t>as well as being</w:t>
      </w:r>
      <w:r w:rsidR="00824CE4" w:rsidRPr="00AA7AA3">
        <w:rPr>
          <w:rFonts w:ascii="Gill Sans MT" w:hAnsi="Gill Sans MT" w:cstheme="minorHAnsi"/>
          <w:sz w:val="24"/>
          <w:szCs w:val="24"/>
        </w:rPr>
        <w:t xml:space="preserve"> a more cost-effective option</w:t>
      </w:r>
      <w:r w:rsidR="0085659B" w:rsidRPr="00AA7AA3">
        <w:rPr>
          <w:rFonts w:ascii="Gill Sans MT" w:hAnsi="Gill Sans MT" w:cstheme="minorHAnsi"/>
          <w:sz w:val="24"/>
          <w:szCs w:val="24"/>
        </w:rPr>
        <w:t>.</w:t>
      </w:r>
      <w:r w:rsidR="00824CE4" w:rsidRPr="00AA7AA3">
        <w:rPr>
          <w:rFonts w:ascii="Gill Sans MT" w:hAnsi="Gill Sans MT" w:cstheme="minorHAnsi"/>
          <w:sz w:val="24"/>
          <w:szCs w:val="24"/>
        </w:rPr>
        <w:t xml:space="preserve"> </w:t>
      </w:r>
      <w:r w:rsidR="00160994" w:rsidRPr="00AA7AA3">
        <w:rPr>
          <w:rFonts w:ascii="Gill Sans MT" w:hAnsi="Gill Sans MT" w:cstheme="minorHAnsi"/>
          <w:sz w:val="24"/>
          <w:szCs w:val="24"/>
        </w:rPr>
        <w:t>The level of investment in an externally commissioned evaluation can vary, from $0.</w:t>
      </w:r>
      <w:r w:rsidR="003C4C7D" w:rsidRPr="00AA7AA3">
        <w:rPr>
          <w:rFonts w:ascii="Gill Sans MT" w:hAnsi="Gill Sans MT" w:cstheme="minorHAnsi"/>
          <w:sz w:val="24"/>
          <w:szCs w:val="24"/>
        </w:rPr>
        <w:t>1</w:t>
      </w:r>
      <w:r w:rsidR="00160994" w:rsidRPr="00AA7AA3">
        <w:rPr>
          <w:rFonts w:ascii="Gill Sans MT" w:hAnsi="Gill Sans MT" w:cstheme="minorHAnsi"/>
          <w:sz w:val="24"/>
          <w:szCs w:val="24"/>
        </w:rPr>
        <w:t>m to $10m in administered funding.</w:t>
      </w:r>
    </w:p>
    <w:p w14:paraId="63554FA3" w14:textId="3148C1C4" w:rsidR="00D02627" w:rsidRPr="00AA7AA3" w:rsidRDefault="001C40D7" w:rsidP="00214658">
      <w:pPr>
        <w:widowControl w:val="0"/>
        <w:autoSpaceDE w:val="0"/>
        <w:autoSpaceDN w:val="0"/>
        <w:adjustRightInd w:val="0"/>
        <w:spacing w:after="240"/>
        <w:rPr>
          <w:rFonts w:ascii="Gill Sans MT" w:hAnsi="Gill Sans MT" w:cstheme="minorHAnsi"/>
          <w:sz w:val="24"/>
          <w:szCs w:val="24"/>
        </w:rPr>
      </w:pPr>
      <w:r>
        <w:rPr>
          <w:rFonts w:ascii="Gill Sans MT" w:hAnsi="Gill Sans MT" w:cstheme="minorHAnsi"/>
          <w:sz w:val="24"/>
          <w:szCs w:val="24"/>
        </w:rPr>
        <w:t>A critical question is w</w:t>
      </w:r>
      <w:r w:rsidR="00304D5F" w:rsidRPr="00AA7AA3">
        <w:rPr>
          <w:rFonts w:ascii="Gill Sans MT" w:hAnsi="Gill Sans MT" w:cstheme="minorHAnsi"/>
          <w:sz w:val="24"/>
          <w:szCs w:val="24"/>
        </w:rPr>
        <w:t xml:space="preserve">hether </w:t>
      </w:r>
      <w:r w:rsidR="003C4C7D" w:rsidRPr="00AA7AA3">
        <w:rPr>
          <w:rFonts w:ascii="Gill Sans MT" w:hAnsi="Gill Sans MT" w:cstheme="minorHAnsi"/>
          <w:sz w:val="24"/>
          <w:szCs w:val="24"/>
        </w:rPr>
        <w:t>the current level of investment in evaluation</w:t>
      </w:r>
      <w:r w:rsidR="00304D5F" w:rsidRPr="00AA7AA3">
        <w:rPr>
          <w:rFonts w:ascii="Gill Sans MT" w:hAnsi="Gill Sans MT" w:cstheme="minorHAnsi"/>
          <w:sz w:val="24"/>
          <w:szCs w:val="24"/>
        </w:rPr>
        <w:t xml:space="preserve"> by </w:t>
      </w:r>
      <w:r w:rsidR="002D13B0" w:rsidRPr="00AA7AA3">
        <w:rPr>
          <w:rFonts w:ascii="Gill Sans MT" w:hAnsi="Gill Sans MT" w:cstheme="minorHAnsi"/>
          <w:sz w:val="24"/>
          <w:szCs w:val="24"/>
        </w:rPr>
        <w:t xml:space="preserve">the </w:t>
      </w:r>
      <w:r w:rsidR="00304D5F" w:rsidRPr="00AA7AA3">
        <w:rPr>
          <w:rFonts w:ascii="Gill Sans MT" w:hAnsi="Gill Sans MT" w:cstheme="minorHAnsi"/>
          <w:sz w:val="24"/>
          <w:szCs w:val="24"/>
        </w:rPr>
        <w:t>Australian Government</w:t>
      </w:r>
      <w:r w:rsidR="003C4C7D" w:rsidRPr="00AA7AA3">
        <w:rPr>
          <w:rFonts w:ascii="Gill Sans MT" w:hAnsi="Gill Sans MT" w:cstheme="minorHAnsi"/>
          <w:sz w:val="24"/>
          <w:szCs w:val="24"/>
        </w:rPr>
        <w:t xml:space="preserve"> is enough. T</w:t>
      </w:r>
      <w:r w:rsidR="00304D5F" w:rsidRPr="00AA7AA3">
        <w:rPr>
          <w:rFonts w:ascii="Gill Sans MT" w:hAnsi="Gill Sans MT" w:cstheme="minorHAnsi"/>
          <w:sz w:val="24"/>
          <w:szCs w:val="24"/>
        </w:rPr>
        <w:t xml:space="preserve">he </w:t>
      </w:r>
      <w:r w:rsidR="00304D5F" w:rsidRPr="00AA7AA3">
        <w:rPr>
          <w:rFonts w:ascii="Gill Sans MT" w:hAnsi="Gill Sans MT" w:cstheme="minorHAnsi"/>
          <w:i/>
          <w:sz w:val="24"/>
          <w:szCs w:val="24"/>
        </w:rPr>
        <w:t>National Commission of Audit</w:t>
      </w:r>
      <w:r w:rsidR="00304D5F" w:rsidRPr="00AA7AA3">
        <w:rPr>
          <w:rFonts w:ascii="Gill Sans MT" w:hAnsi="Gill Sans MT" w:cstheme="minorHAnsi"/>
          <w:sz w:val="24"/>
          <w:szCs w:val="24"/>
        </w:rPr>
        <w:t xml:space="preserve"> (2014)</w:t>
      </w:r>
      <w:r w:rsidR="00DD42AA" w:rsidRPr="00AA7AA3">
        <w:rPr>
          <w:rStyle w:val="FootnoteReference"/>
          <w:rFonts w:ascii="Gill Sans MT" w:hAnsi="Gill Sans MT" w:cstheme="minorHAnsi"/>
          <w:sz w:val="24"/>
          <w:szCs w:val="24"/>
        </w:rPr>
        <w:footnoteReference w:id="7"/>
      </w:r>
      <w:r w:rsidR="00304D5F" w:rsidRPr="00AA7AA3">
        <w:rPr>
          <w:rFonts w:ascii="Gill Sans MT" w:hAnsi="Gill Sans MT" w:cstheme="minorHAnsi"/>
          <w:sz w:val="24"/>
          <w:szCs w:val="24"/>
        </w:rPr>
        <w:t xml:space="preserve">, </w:t>
      </w:r>
      <w:r w:rsidR="00EC2838" w:rsidRPr="00AA7AA3">
        <w:rPr>
          <w:rFonts w:ascii="Gill Sans MT" w:hAnsi="Gill Sans MT" w:cstheme="minorHAnsi"/>
          <w:sz w:val="24"/>
          <w:szCs w:val="24"/>
        </w:rPr>
        <w:t>the Productivity Commission (2016)</w:t>
      </w:r>
      <w:r w:rsidR="00052E2B" w:rsidRPr="00AA7AA3">
        <w:rPr>
          <w:rStyle w:val="FootnoteReference"/>
          <w:rFonts w:ascii="Gill Sans MT" w:hAnsi="Gill Sans MT" w:cstheme="minorHAnsi"/>
          <w:sz w:val="24"/>
          <w:szCs w:val="24"/>
        </w:rPr>
        <w:footnoteReference w:id="8"/>
      </w:r>
      <w:r>
        <w:rPr>
          <w:rFonts w:ascii="Gill Sans MT" w:hAnsi="Gill Sans MT" w:cstheme="minorHAnsi"/>
          <w:sz w:val="24"/>
          <w:szCs w:val="24"/>
        </w:rPr>
        <w:t>,</w:t>
      </w:r>
      <w:r w:rsidR="00EC2838" w:rsidRPr="00AA7AA3">
        <w:rPr>
          <w:rFonts w:ascii="Gill Sans MT" w:hAnsi="Gill Sans MT" w:cstheme="minorHAnsi"/>
          <w:sz w:val="24"/>
          <w:szCs w:val="24"/>
        </w:rPr>
        <w:t xml:space="preserve"> </w:t>
      </w:r>
      <w:r w:rsidR="00304D5F" w:rsidRPr="00AA7AA3">
        <w:rPr>
          <w:rFonts w:ascii="Gill Sans MT" w:hAnsi="Gill Sans MT" w:cstheme="minorHAnsi"/>
          <w:sz w:val="24"/>
          <w:szCs w:val="24"/>
        </w:rPr>
        <w:t>and most recently</w:t>
      </w:r>
      <w:r>
        <w:rPr>
          <w:rFonts w:ascii="Gill Sans MT" w:hAnsi="Gill Sans MT" w:cstheme="minorHAnsi"/>
          <w:sz w:val="24"/>
          <w:szCs w:val="24"/>
        </w:rPr>
        <w:t>,</w:t>
      </w:r>
      <w:r w:rsidR="00304D5F" w:rsidRPr="00AA7AA3">
        <w:rPr>
          <w:rFonts w:ascii="Gill Sans MT" w:hAnsi="Gill Sans MT" w:cstheme="minorHAnsi"/>
          <w:sz w:val="24"/>
          <w:szCs w:val="24"/>
        </w:rPr>
        <w:t xml:space="preserve"> the </w:t>
      </w:r>
      <w:r w:rsidR="007330E5">
        <w:rPr>
          <w:rFonts w:ascii="Gill Sans MT" w:hAnsi="Gill Sans MT" w:cstheme="minorHAnsi"/>
          <w:i/>
          <w:sz w:val="24"/>
          <w:szCs w:val="24"/>
        </w:rPr>
        <w:t>PGPA</w:t>
      </w:r>
      <w:r w:rsidR="00304D5F" w:rsidRPr="00AA7AA3">
        <w:rPr>
          <w:rFonts w:ascii="Gill Sans MT" w:hAnsi="Gill Sans MT" w:cstheme="minorHAnsi"/>
          <w:i/>
          <w:sz w:val="24"/>
          <w:szCs w:val="24"/>
        </w:rPr>
        <w:t xml:space="preserve"> Act 2013 and Rule Independent Review</w:t>
      </w:r>
      <w:r w:rsidR="00304D5F" w:rsidRPr="00AA7AA3">
        <w:rPr>
          <w:rFonts w:ascii="Gill Sans MT" w:hAnsi="Gill Sans MT" w:cstheme="minorHAnsi"/>
          <w:sz w:val="24"/>
          <w:szCs w:val="24"/>
        </w:rPr>
        <w:t xml:space="preserve"> (2018)</w:t>
      </w:r>
      <w:r w:rsidR="00D63939" w:rsidRPr="00AA7AA3">
        <w:rPr>
          <w:rStyle w:val="FootnoteReference"/>
          <w:rFonts w:ascii="Gill Sans MT" w:hAnsi="Gill Sans MT" w:cstheme="minorHAnsi"/>
          <w:sz w:val="24"/>
          <w:szCs w:val="24"/>
        </w:rPr>
        <w:footnoteReference w:id="9"/>
      </w:r>
      <w:r w:rsidR="00304D5F" w:rsidRPr="00AA7AA3">
        <w:rPr>
          <w:rFonts w:ascii="Gill Sans MT" w:hAnsi="Gill Sans MT" w:cstheme="minorHAnsi"/>
          <w:sz w:val="24"/>
          <w:szCs w:val="24"/>
        </w:rPr>
        <w:t xml:space="preserve"> </w:t>
      </w:r>
      <w:r w:rsidR="008C7D42">
        <w:rPr>
          <w:rFonts w:ascii="Gill Sans MT" w:hAnsi="Gill Sans MT" w:cstheme="minorHAnsi"/>
          <w:sz w:val="24"/>
          <w:szCs w:val="24"/>
        </w:rPr>
        <w:t>have called</w:t>
      </w:r>
      <w:r w:rsidR="003C4C7D" w:rsidRPr="00AA7AA3">
        <w:rPr>
          <w:rFonts w:ascii="Gill Sans MT" w:hAnsi="Gill Sans MT" w:cstheme="minorHAnsi"/>
          <w:sz w:val="24"/>
          <w:szCs w:val="24"/>
        </w:rPr>
        <w:t xml:space="preserve"> </w:t>
      </w:r>
      <w:r w:rsidR="00304D5F" w:rsidRPr="00AA7AA3">
        <w:rPr>
          <w:rFonts w:ascii="Gill Sans MT" w:hAnsi="Gill Sans MT" w:cstheme="minorHAnsi"/>
          <w:sz w:val="24"/>
          <w:szCs w:val="24"/>
        </w:rPr>
        <w:t>for</w:t>
      </w:r>
      <w:r w:rsidR="000E254B">
        <w:rPr>
          <w:rFonts w:ascii="Gill Sans MT" w:hAnsi="Gill Sans MT" w:cstheme="minorHAnsi"/>
          <w:sz w:val="24"/>
          <w:szCs w:val="24"/>
        </w:rPr>
        <w:t xml:space="preserve"> investment in</w:t>
      </w:r>
      <w:r w:rsidR="00304D5F" w:rsidRPr="00AA7AA3">
        <w:rPr>
          <w:rFonts w:ascii="Gill Sans MT" w:hAnsi="Gill Sans MT" w:cstheme="minorHAnsi"/>
          <w:sz w:val="24"/>
          <w:szCs w:val="24"/>
        </w:rPr>
        <w:t xml:space="preserve"> more evaluative activity.</w:t>
      </w:r>
    </w:p>
    <w:p w14:paraId="6D1CBCD4" w14:textId="64995554" w:rsidR="00503D80" w:rsidRPr="00AA7AA3" w:rsidRDefault="00D35CBA" w:rsidP="00214658">
      <w:pPr>
        <w:keepNext/>
        <w:spacing w:before="360"/>
        <w:rPr>
          <w:rFonts w:ascii="Gill Sans MT" w:hAnsi="Gill Sans MT" w:cstheme="minorHAnsi"/>
          <w:b/>
          <w:sz w:val="24"/>
          <w:szCs w:val="24"/>
        </w:rPr>
      </w:pPr>
      <w:r w:rsidRPr="00AA7AA3">
        <w:rPr>
          <w:rFonts w:ascii="Gill Sans MT" w:hAnsi="Gill Sans MT" w:cstheme="minorHAnsi"/>
          <w:b/>
          <w:sz w:val="24"/>
          <w:szCs w:val="24"/>
        </w:rPr>
        <w:t xml:space="preserve">CURRENT CAPACITY OF THE APS TO UNDERTAKE EVALUATION </w:t>
      </w:r>
    </w:p>
    <w:p w14:paraId="7BF5B05A" w14:textId="25B79077" w:rsidR="00234D9E" w:rsidRPr="00AA7AA3" w:rsidRDefault="00234D9E" w:rsidP="00214658">
      <w:pPr>
        <w:rPr>
          <w:rFonts w:ascii="Gill Sans MT" w:eastAsia="Times New Roman" w:hAnsi="Gill Sans MT" w:cs="Times New Roman"/>
          <w:sz w:val="20"/>
          <w:szCs w:val="20"/>
        </w:rPr>
      </w:pPr>
      <w:r w:rsidRPr="00AA7AA3">
        <w:rPr>
          <w:rFonts w:ascii="Gill Sans MT" w:hAnsi="Gill Sans MT" w:cstheme="minorHAnsi"/>
          <w:sz w:val="24"/>
          <w:szCs w:val="24"/>
        </w:rPr>
        <w:t>The manner in which evaluation is undertaken across the APS has changed over time. In the 1980’s it was somewhat ad-hoc, in the 1990’s a centralised model overseen by the Department of Finance evolved</w:t>
      </w:r>
      <w:r w:rsidR="000F687B">
        <w:rPr>
          <w:rFonts w:ascii="Gill Sans MT" w:hAnsi="Gill Sans MT" w:cstheme="minorHAnsi"/>
          <w:sz w:val="24"/>
          <w:szCs w:val="24"/>
        </w:rPr>
        <w:t>,</w:t>
      </w:r>
      <w:r w:rsidRPr="00AA7AA3">
        <w:rPr>
          <w:rFonts w:ascii="Gill Sans MT" w:hAnsi="Gill Sans MT" w:cstheme="minorHAnsi"/>
          <w:sz w:val="24"/>
          <w:szCs w:val="24"/>
        </w:rPr>
        <w:t xml:space="preserve"> and into the 2000’s it moved to a devolved approach </w:t>
      </w:r>
      <w:r w:rsidR="000F687B">
        <w:rPr>
          <w:rFonts w:ascii="Gill Sans MT" w:hAnsi="Gill Sans MT" w:cstheme="minorHAnsi"/>
          <w:sz w:val="24"/>
          <w:szCs w:val="24"/>
        </w:rPr>
        <w:t>where</w:t>
      </w:r>
      <w:r w:rsidRPr="00AA7AA3">
        <w:rPr>
          <w:rFonts w:ascii="Gill Sans MT" w:hAnsi="Gill Sans MT" w:cstheme="minorHAnsi"/>
          <w:sz w:val="24"/>
          <w:szCs w:val="24"/>
        </w:rPr>
        <w:t xml:space="preserve"> performance management </w:t>
      </w:r>
      <w:r w:rsidR="000F687B">
        <w:rPr>
          <w:rFonts w:ascii="Gill Sans MT" w:hAnsi="Gill Sans MT" w:cstheme="minorHAnsi"/>
          <w:sz w:val="24"/>
          <w:szCs w:val="24"/>
        </w:rPr>
        <w:t>was</w:t>
      </w:r>
      <w:r w:rsidRPr="00AA7AA3">
        <w:rPr>
          <w:rFonts w:ascii="Gill Sans MT" w:hAnsi="Gill Sans MT" w:cstheme="minorHAnsi"/>
          <w:sz w:val="24"/>
          <w:szCs w:val="24"/>
        </w:rPr>
        <w:t xml:space="preserve"> the responsibility of individual Ministers and agency heads.</w:t>
      </w:r>
      <w:r w:rsidRPr="00AA7AA3">
        <w:rPr>
          <w:rStyle w:val="FootnoteReference"/>
          <w:rFonts w:ascii="Gill Sans MT" w:hAnsi="Gill Sans MT" w:cstheme="minorHAnsi"/>
          <w:sz w:val="24"/>
          <w:szCs w:val="24"/>
        </w:rPr>
        <w:footnoteReference w:id="10"/>
      </w:r>
      <w:r w:rsidRPr="00AA7AA3">
        <w:rPr>
          <w:rFonts w:ascii="Gill Sans MT" w:hAnsi="Gill Sans MT" w:cstheme="minorHAnsi"/>
          <w:sz w:val="24"/>
          <w:szCs w:val="24"/>
        </w:rPr>
        <w:t xml:space="preserve"> While the recent </w:t>
      </w:r>
      <w:r w:rsidR="007A1FF6" w:rsidRPr="00AA7AA3">
        <w:rPr>
          <w:rFonts w:ascii="Gill Sans MT" w:eastAsia="Times New Roman" w:hAnsi="Gill Sans MT" w:cs="Times New Roman"/>
          <w:color w:val="000000"/>
          <w:sz w:val="24"/>
          <w:szCs w:val="24"/>
          <w:shd w:val="clear" w:color="auto" w:fill="FFFFFF"/>
        </w:rPr>
        <w:t>development of 'grants hubs' at Commonwealt</w:t>
      </w:r>
      <w:r w:rsidR="004451EB" w:rsidRPr="00AA7AA3">
        <w:rPr>
          <w:rFonts w:ascii="Gill Sans MT" w:eastAsia="Times New Roman" w:hAnsi="Gill Sans MT" w:cs="Times New Roman"/>
          <w:color w:val="000000"/>
          <w:sz w:val="24"/>
          <w:szCs w:val="24"/>
          <w:shd w:val="clear" w:color="auto" w:fill="FFFFFF"/>
        </w:rPr>
        <w:t>h level also provide an element of whole-of-Commonwealth-</w:t>
      </w:r>
      <w:r w:rsidR="007A1FF6" w:rsidRPr="00AA7AA3">
        <w:rPr>
          <w:rFonts w:ascii="Gill Sans MT" w:eastAsia="Times New Roman" w:hAnsi="Gill Sans MT" w:cs="Times New Roman"/>
          <w:color w:val="000000"/>
          <w:sz w:val="24"/>
          <w:szCs w:val="24"/>
          <w:shd w:val="clear" w:color="auto" w:fill="FFFFFF"/>
        </w:rPr>
        <w:t>government evaluation service</w:t>
      </w:r>
      <w:r w:rsidR="004451EB" w:rsidRPr="00AA7AA3">
        <w:rPr>
          <w:rFonts w:ascii="Gill Sans MT" w:eastAsia="Times New Roman" w:hAnsi="Gill Sans MT" w:cs="Times New Roman"/>
          <w:sz w:val="20"/>
          <w:szCs w:val="20"/>
        </w:rPr>
        <w:t xml:space="preserve">, </w:t>
      </w:r>
      <w:r w:rsidRPr="00AA7AA3">
        <w:rPr>
          <w:rFonts w:ascii="Gill Sans MT" w:hAnsi="Gill Sans MT" w:cstheme="minorHAnsi"/>
          <w:sz w:val="24"/>
          <w:szCs w:val="24"/>
        </w:rPr>
        <w:t xml:space="preserve">the devolved model remains in place. </w:t>
      </w:r>
    </w:p>
    <w:p w14:paraId="4C08DBFC" w14:textId="5B7CEFD2" w:rsidR="007208A8" w:rsidRPr="00AA7AA3" w:rsidRDefault="00467B15" w:rsidP="00214658">
      <w:pPr>
        <w:keepNext/>
        <w:rPr>
          <w:rFonts w:ascii="Gill Sans MT" w:hAnsi="Gill Sans MT" w:cstheme="minorHAnsi"/>
          <w:sz w:val="24"/>
          <w:szCs w:val="24"/>
        </w:rPr>
      </w:pPr>
      <w:r w:rsidRPr="00AA7AA3">
        <w:rPr>
          <w:rFonts w:ascii="Gill Sans MT" w:hAnsi="Gill Sans MT" w:cstheme="minorHAnsi"/>
          <w:sz w:val="24"/>
          <w:szCs w:val="24"/>
        </w:rPr>
        <w:t xml:space="preserve">The </w:t>
      </w:r>
      <w:r w:rsidR="004451EB" w:rsidRPr="00AA7AA3">
        <w:rPr>
          <w:rFonts w:ascii="Gill Sans MT" w:hAnsi="Gill Sans MT" w:cstheme="minorHAnsi"/>
          <w:sz w:val="24"/>
          <w:szCs w:val="24"/>
        </w:rPr>
        <w:t xml:space="preserve">introduction of the </w:t>
      </w:r>
      <w:r w:rsidRPr="00AA7AA3">
        <w:rPr>
          <w:rFonts w:ascii="Gill Sans MT" w:hAnsi="Gill Sans MT" w:cstheme="minorHAnsi"/>
          <w:i/>
          <w:sz w:val="24"/>
          <w:szCs w:val="24"/>
        </w:rPr>
        <w:t>PGPA Act 2013</w:t>
      </w:r>
      <w:r w:rsidRPr="00AA7AA3">
        <w:rPr>
          <w:rFonts w:ascii="Gill Sans MT" w:hAnsi="Gill Sans MT" w:cstheme="minorHAnsi"/>
          <w:sz w:val="24"/>
          <w:szCs w:val="24"/>
        </w:rPr>
        <w:t xml:space="preserve"> in many ways establishe</w:t>
      </w:r>
      <w:r w:rsidR="002D13B0" w:rsidRPr="00AA7AA3">
        <w:rPr>
          <w:rFonts w:ascii="Gill Sans MT" w:hAnsi="Gill Sans MT" w:cstheme="minorHAnsi"/>
          <w:sz w:val="24"/>
          <w:szCs w:val="24"/>
        </w:rPr>
        <w:t>d</w:t>
      </w:r>
      <w:r w:rsidRPr="00AA7AA3">
        <w:rPr>
          <w:rFonts w:ascii="Gill Sans MT" w:hAnsi="Gill Sans MT" w:cstheme="minorHAnsi"/>
          <w:sz w:val="24"/>
          <w:szCs w:val="24"/>
        </w:rPr>
        <w:t xml:space="preserve"> the </w:t>
      </w:r>
      <w:r w:rsidR="00234D9E" w:rsidRPr="00AA7AA3">
        <w:rPr>
          <w:rFonts w:ascii="Gill Sans MT" w:hAnsi="Gill Sans MT" w:cstheme="minorHAnsi"/>
          <w:sz w:val="24"/>
          <w:szCs w:val="24"/>
        </w:rPr>
        <w:t xml:space="preserve">current </w:t>
      </w:r>
      <w:r w:rsidRPr="00AA7AA3">
        <w:rPr>
          <w:rFonts w:ascii="Gill Sans MT" w:hAnsi="Gill Sans MT" w:cstheme="minorHAnsi"/>
          <w:sz w:val="24"/>
          <w:szCs w:val="24"/>
        </w:rPr>
        <w:t xml:space="preserve">context in which evaluation is undertaken within and by the </w:t>
      </w:r>
      <w:r w:rsidR="00686116">
        <w:rPr>
          <w:rFonts w:ascii="Gill Sans MT" w:hAnsi="Gill Sans MT" w:cstheme="minorHAnsi"/>
          <w:sz w:val="24"/>
          <w:szCs w:val="24"/>
        </w:rPr>
        <w:t>APS</w:t>
      </w:r>
      <w:r w:rsidR="00822F11" w:rsidRPr="00AA7AA3">
        <w:rPr>
          <w:rFonts w:ascii="Gill Sans MT" w:hAnsi="Gill Sans MT" w:cstheme="minorHAnsi"/>
          <w:sz w:val="24"/>
          <w:szCs w:val="24"/>
        </w:rPr>
        <w:t>. The AES has commended the progress made to date to introduce the PGPA Act and E</w:t>
      </w:r>
      <w:r w:rsidR="008F7DED" w:rsidRPr="00AA7AA3">
        <w:rPr>
          <w:rFonts w:ascii="Gill Sans MT" w:hAnsi="Gill Sans MT" w:cstheme="minorHAnsi"/>
          <w:sz w:val="24"/>
          <w:szCs w:val="24"/>
        </w:rPr>
        <w:t>nhanced Commonwealth Performance Framework (ECPF)</w:t>
      </w:r>
      <w:r w:rsidR="00822F11" w:rsidRPr="00AA7AA3">
        <w:rPr>
          <w:rFonts w:ascii="Gill Sans MT" w:hAnsi="Gill Sans MT" w:cstheme="minorHAnsi"/>
          <w:sz w:val="24"/>
          <w:szCs w:val="24"/>
        </w:rPr>
        <w:t xml:space="preserve"> to improve performance governance and accountability reporting to the Parliament and the public. </w:t>
      </w:r>
      <w:r w:rsidR="00B953CE" w:rsidRPr="00AA7AA3">
        <w:rPr>
          <w:rFonts w:ascii="Gill Sans MT" w:hAnsi="Gill Sans MT" w:cstheme="minorHAnsi"/>
          <w:sz w:val="24"/>
          <w:szCs w:val="24"/>
        </w:rPr>
        <w:t>It has also acknowledged that the implementation of the reforms has been a complex and</w:t>
      </w:r>
      <w:r w:rsidR="00EF6B6B">
        <w:rPr>
          <w:rFonts w:ascii="Gill Sans MT" w:hAnsi="Gill Sans MT" w:cstheme="minorHAnsi"/>
          <w:sz w:val="24"/>
          <w:szCs w:val="24"/>
        </w:rPr>
        <w:t>,</w:t>
      </w:r>
      <w:r w:rsidR="00B953CE" w:rsidRPr="00AA7AA3">
        <w:rPr>
          <w:rFonts w:ascii="Gill Sans MT" w:hAnsi="Gill Sans MT" w:cstheme="minorHAnsi"/>
          <w:sz w:val="24"/>
          <w:szCs w:val="24"/>
        </w:rPr>
        <w:t xml:space="preserve"> in some instances</w:t>
      </w:r>
      <w:r w:rsidR="00EF6B6B">
        <w:rPr>
          <w:rFonts w:ascii="Gill Sans MT" w:hAnsi="Gill Sans MT" w:cstheme="minorHAnsi"/>
          <w:sz w:val="24"/>
          <w:szCs w:val="24"/>
        </w:rPr>
        <w:t>,</w:t>
      </w:r>
      <w:r w:rsidR="00B953CE" w:rsidRPr="00AA7AA3">
        <w:rPr>
          <w:rFonts w:ascii="Gill Sans MT" w:hAnsi="Gill Sans MT" w:cstheme="minorHAnsi"/>
          <w:sz w:val="24"/>
          <w:szCs w:val="24"/>
        </w:rPr>
        <w:t xml:space="preserve"> challenging task, and may continue to be so in the near </w:t>
      </w:r>
      <w:r w:rsidR="0097277A">
        <w:rPr>
          <w:rFonts w:ascii="Gill Sans MT" w:hAnsi="Gill Sans MT" w:cstheme="minorHAnsi"/>
          <w:sz w:val="24"/>
          <w:szCs w:val="24"/>
        </w:rPr>
        <w:t>future</w:t>
      </w:r>
      <w:r w:rsidR="00B953CE" w:rsidRPr="00AA7AA3">
        <w:rPr>
          <w:rFonts w:ascii="Gill Sans MT" w:hAnsi="Gill Sans MT" w:cstheme="minorHAnsi"/>
          <w:sz w:val="24"/>
          <w:szCs w:val="24"/>
        </w:rPr>
        <w:t xml:space="preserve">. </w:t>
      </w:r>
    </w:p>
    <w:p w14:paraId="4B8B35C9" w14:textId="3A073983" w:rsidR="00B953CE" w:rsidRPr="00AA7AA3" w:rsidRDefault="00B953CE" w:rsidP="00214658">
      <w:pPr>
        <w:keepNext/>
        <w:rPr>
          <w:rFonts w:ascii="Gill Sans MT" w:hAnsi="Gill Sans MT" w:cstheme="minorHAnsi"/>
          <w:sz w:val="24"/>
          <w:szCs w:val="24"/>
        </w:rPr>
      </w:pPr>
      <w:r w:rsidRPr="00AA7AA3">
        <w:rPr>
          <w:rFonts w:ascii="Gill Sans MT" w:hAnsi="Gill Sans MT" w:cstheme="minorHAnsi"/>
          <w:sz w:val="24"/>
          <w:szCs w:val="24"/>
        </w:rPr>
        <w:t xml:space="preserve">The AES </w:t>
      </w:r>
      <w:r w:rsidR="00D27774">
        <w:rPr>
          <w:rFonts w:ascii="Gill Sans MT" w:hAnsi="Gill Sans MT" w:cstheme="minorHAnsi"/>
          <w:sz w:val="24"/>
          <w:szCs w:val="24"/>
        </w:rPr>
        <w:t>argues</w:t>
      </w:r>
      <w:r w:rsidRPr="00AA7AA3">
        <w:rPr>
          <w:rFonts w:ascii="Gill Sans MT" w:hAnsi="Gill Sans MT" w:cstheme="minorHAnsi"/>
          <w:sz w:val="24"/>
          <w:szCs w:val="24"/>
        </w:rPr>
        <w:t xml:space="preserve"> that government performance frameworks can potentially serve a number of complementary purposes includ</w:t>
      </w:r>
      <w:r w:rsidR="00BC1066">
        <w:rPr>
          <w:rFonts w:ascii="Gill Sans MT" w:hAnsi="Gill Sans MT" w:cstheme="minorHAnsi"/>
          <w:sz w:val="24"/>
          <w:szCs w:val="24"/>
        </w:rPr>
        <w:t>ing</w:t>
      </w:r>
      <w:r w:rsidRPr="00AA7AA3">
        <w:rPr>
          <w:rFonts w:ascii="Gill Sans MT" w:hAnsi="Gill Sans MT" w:cstheme="minorHAnsi"/>
          <w:sz w:val="24"/>
          <w:szCs w:val="24"/>
        </w:rPr>
        <w:t>:</w:t>
      </w:r>
    </w:p>
    <w:p w14:paraId="369B39DC" w14:textId="13A25223" w:rsidR="00B953CE" w:rsidRPr="00AA7AA3" w:rsidRDefault="002D13B0" w:rsidP="00214658">
      <w:pPr>
        <w:pStyle w:val="ListParagraph"/>
        <w:numPr>
          <w:ilvl w:val="0"/>
          <w:numId w:val="14"/>
        </w:numPr>
        <w:spacing w:after="0"/>
        <w:rPr>
          <w:rFonts w:ascii="Gill Sans MT" w:hAnsi="Gill Sans MT" w:cstheme="minorHAnsi"/>
          <w:sz w:val="24"/>
          <w:szCs w:val="24"/>
        </w:rPr>
      </w:pPr>
      <w:r w:rsidRPr="00AA7AA3">
        <w:rPr>
          <w:rFonts w:ascii="Gill Sans MT" w:hAnsi="Gill Sans MT" w:cstheme="minorHAnsi"/>
          <w:sz w:val="24"/>
          <w:szCs w:val="24"/>
        </w:rPr>
        <w:t>support</w:t>
      </w:r>
      <w:r w:rsidR="003B1230">
        <w:rPr>
          <w:rFonts w:ascii="Gill Sans MT" w:hAnsi="Gill Sans MT" w:cstheme="minorHAnsi"/>
          <w:sz w:val="24"/>
          <w:szCs w:val="24"/>
        </w:rPr>
        <w:t>ing</w:t>
      </w:r>
      <w:r w:rsidRPr="00AA7AA3">
        <w:rPr>
          <w:rFonts w:ascii="Gill Sans MT" w:hAnsi="Gill Sans MT" w:cstheme="minorHAnsi"/>
          <w:sz w:val="24"/>
          <w:szCs w:val="24"/>
        </w:rPr>
        <w:t xml:space="preserve"> </w:t>
      </w:r>
      <w:r w:rsidR="00B953CE" w:rsidRPr="00AA7AA3">
        <w:rPr>
          <w:rFonts w:ascii="Gill Sans MT" w:hAnsi="Gill Sans MT" w:cstheme="minorHAnsi"/>
          <w:sz w:val="24"/>
          <w:szCs w:val="24"/>
        </w:rPr>
        <w:t>Parliamentary oversight and accountably</w:t>
      </w:r>
    </w:p>
    <w:p w14:paraId="7C077E97" w14:textId="71741BB6" w:rsidR="00B953CE" w:rsidRPr="00AA7AA3" w:rsidRDefault="002D13B0" w:rsidP="00214658">
      <w:pPr>
        <w:pStyle w:val="ListParagraph"/>
        <w:numPr>
          <w:ilvl w:val="0"/>
          <w:numId w:val="14"/>
        </w:numPr>
        <w:spacing w:after="0"/>
        <w:rPr>
          <w:rFonts w:ascii="Gill Sans MT" w:hAnsi="Gill Sans MT" w:cstheme="minorHAnsi"/>
          <w:sz w:val="24"/>
          <w:szCs w:val="24"/>
        </w:rPr>
      </w:pPr>
      <w:r w:rsidRPr="00AA7AA3">
        <w:rPr>
          <w:rFonts w:ascii="Gill Sans MT" w:hAnsi="Gill Sans MT" w:cstheme="minorHAnsi"/>
          <w:sz w:val="24"/>
          <w:szCs w:val="24"/>
        </w:rPr>
        <w:t>inform</w:t>
      </w:r>
      <w:r w:rsidR="003B1230">
        <w:rPr>
          <w:rFonts w:ascii="Gill Sans MT" w:hAnsi="Gill Sans MT" w:cstheme="minorHAnsi"/>
          <w:sz w:val="24"/>
          <w:szCs w:val="24"/>
        </w:rPr>
        <w:t>ing</w:t>
      </w:r>
      <w:r w:rsidRPr="00AA7AA3">
        <w:rPr>
          <w:rFonts w:ascii="Gill Sans MT" w:hAnsi="Gill Sans MT" w:cstheme="minorHAnsi"/>
          <w:sz w:val="24"/>
          <w:szCs w:val="24"/>
        </w:rPr>
        <w:t xml:space="preserve"> </w:t>
      </w:r>
      <w:r w:rsidR="00B953CE" w:rsidRPr="00AA7AA3">
        <w:rPr>
          <w:rFonts w:ascii="Gill Sans MT" w:hAnsi="Gill Sans MT" w:cstheme="minorHAnsi"/>
          <w:sz w:val="24"/>
          <w:szCs w:val="24"/>
        </w:rPr>
        <w:t>strategic policymaking and driving better outcomes</w:t>
      </w:r>
    </w:p>
    <w:p w14:paraId="4690669C" w14:textId="71671EC2" w:rsidR="00B953CE" w:rsidRPr="00AA7AA3" w:rsidRDefault="002D13B0" w:rsidP="00214658">
      <w:pPr>
        <w:pStyle w:val="ListParagraph"/>
        <w:numPr>
          <w:ilvl w:val="0"/>
          <w:numId w:val="14"/>
        </w:numPr>
        <w:spacing w:after="0"/>
        <w:rPr>
          <w:rFonts w:ascii="Gill Sans MT" w:hAnsi="Gill Sans MT" w:cstheme="minorHAnsi"/>
          <w:sz w:val="24"/>
          <w:szCs w:val="24"/>
        </w:rPr>
      </w:pPr>
      <w:r w:rsidRPr="00AA7AA3">
        <w:rPr>
          <w:rFonts w:ascii="Gill Sans MT" w:hAnsi="Gill Sans MT" w:cstheme="minorHAnsi"/>
          <w:sz w:val="24"/>
          <w:szCs w:val="24"/>
        </w:rPr>
        <w:t>guid</w:t>
      </w:r>
      <w:r w:rsidR="003B1230">
        <w:rPr>
          <w:rFonts w:ascii="Gill Sans MT" w:hAnsi="Gill Sans MT" w:cstheme="minorHAnsi"/>
          <w:sz w:val="24"/>
          <w:szCs w:val="24"/>
        </w:rPr>
        <w:t>ing</w:t>
      </w:r>
      <w:r w:rsidRPr="00AA7AA3">
        <w:rPr>
          <w:rFonts w:ascii="Gill Sans MT" w:hAnsi="Gill Sans MT" w:cstheme="minorHAnsi"/>
          <w:sz w:val="24"/>
          <w:szCs w:val="24"/>
        </w:rPr>
        <w:t xml:space="preserve"> </w:t>
      </w:r>
      <w:r w:rsidR="00B953CE" w:rsidRPr="00AA7AA3">
        <w:rPr>
          <w:rFonts w:ascii="Gill Sans MT" w:hAnsi="Gill Sans MT" w:cstheme="minorHAnsi"/>
          <w:sz w:val="24"/>
          <w:szCs w:val="24"/>
        </w:rPr>
        <w:t>resource allocation decisions and identifying potential cost savings</w:t>
      </w:r>
    </w:p>
    <w:p w14:paraId="2CBD3CF9" w14:textId="6F1622D5" w:rsidR="00B953CE" w:rsidRPr="00AA7AA3" w:rsidRDefault="002D13B0" w:rsidP="00214658">
      <w:pPr>
        <w:pStyle w:val="ListParagraph"/>
        <w:numPr>
          <w:ilvl w:val="0"/>
          <w:numId w:val="14"/>
        </w:numPr>
        <w:spacing w:after="0"/>
        <w:rPr>
          <w:rFonts w:ascii="Gill Sans MT" w:hAnsi="Gill Sans MT" w:cstheme="minorHAnsi"/>
          <w:sz w:val="24"/>
          <w:szCs w:val="24"/>
        </w:rPr>
      </w:pPr>
      <w:r w:rsidRPr="00AA7AA3">
        <w:rPr>
          <w:rFonts w:ascii="Gill Sans MT" w:hAnsi="Gill Sans MT" w:cstheme="minorHAnsi"/>
          <w:sz w:val="24"/>
          <w:szCs w:val="24"/>
        </w:rPr>
        <w:lastRenderedPageBreak/>
        <w:t>improv</w:t>
      </w:r>
      <w:r w:rsidR="003B1230">
        <w:rPr>
          <w:rFonts w:ascii="Gill Sans MT" w:hAnsi="Gill Sans MT" w:cstheme="minorHAnsi"/>
          <w:sz w:val="24"/>
          <w:szCs w:val="24"/>
        </w:rPr>
        <w:t>ing</w:t>
      </w:r>
      <w:r w:rsidRPr="00AA7AA3">
        <w:rPr>
          <w:rFonts w:ascii="Gill Sans MT" w:hAnsi="Gill Sans MT" w:cstheme="minorHAnsi"/>
          <w:sz w:val="24"/>
          <w:szCs w:val="24"/>
        </w:rPr>
        <w:t xml:space="preserve"> </w:t>
      </w:r>
      <w:r w:rsidR="00B953CE" w:rsidRPr="00AA7AA3">
        <w:rPr>
          <w:rFonts w:ascii="Gill Sans MT" w:hAnsi="Gill Sans MT" w:cstheme="minorHAnsi"/>
          <w:sz w:val="24"/>
          <w:szCs w:val="24"/>
        </w:rPr>
        <w:t>the implementation of programs and enhancing coordination across departments</w:t>
      </w:r>
    </w:p>
    <w:p w14:paraId="2C82B36A" w14:textId="396AB423" w:rsidR="00AB7704" w:rsidRPr="00AA7AA3" w:rsidRDefault="002D13B0" w:rsidP="00214658">
      <w:pPr>
        <w:pStyle w:val="ListParagraph"/>
        <w:numPr>
          <w:ilvl w:val="0"/>
          <w:numId w:val="14"/>
        </w:numPr>
        <w:spacing w:after="120"/>
        <w:ind w:left="714" w:hanging="357"/>
        <w:contextualSpacing w:val="0"/>
        <w:rPr>
          <w:rFonts w:ascii="Gill Sans MT" w:hAnsi="Gill Sans MT" w:cstheme="minorHAnsi"/>
          <w:sz w:val="24"/>
          <w:szCs w:val="24"/>
        </w:rPr>
      </w:pPr>
      <w:r w:rsidRPr="00AA7AA3">
        <w:rPr>
          <w:rFonts w:ascii="Gill Sans MT" w:hAnsi="Gill Sans MT" w:cstheme="minorHAnsi"/>
          <w:sz w:val="24"/>
          <w:szCs w:val="24"/>
        </w:rPr>
        <w:t>engag</w:t>
      </w:r>
      <w:r w:rsidR="003B1230">
        <w:rPr>
          <w:rFonts w:ascii="Gill Sans MT" w:hAnsi="Gill Sans MT" w:cstheme="minorHAnsi"/>
          <w:sz w:val="24"/>
          <w:szCs w:val="24"/>
        </w:rPr>
        <w:t>ing</w:t>
      </w:r>
      <w:r w:rsidRPr="00AA7AA3">
        <w:rPr>
          <w:rFonts w:ascii="Gill Sans MT" w:hAnsi="Gill Sans MT" w:cstheme="minorHAnsi"/>
          <w:sz w:val="24"/>
          <w:szCs w:val="24"/>
        </w:rPr>
        <w:t xml:space="preserve"> </w:t>
      </w:r>
      <w:r w:rsidR="00B953CE" w:rsidRPr="00AA7AA3">
        <w:rPr>
          <w:rFonts w:ascii="Gill Sans MT" w:hAnsi="Gill Sans MT" w:cstheme="minorHAnsi"/>
          <w:sz w:val="24"/>
          <w:szCs w:val="24"/>
        </w:rPr>
        <w:t>civil society in clarifying service expectations and reviewing performance.</w:t>
      </w:r>
    </w:p>
    <w:p w14:paraId="55AF01DB" w14:textId="03D387FD" w:rsidR="007B7464" w:rsidRPr="00AA7AA3" w:rsidRDefault="00B953CE" w:rsidP="00214658">
      <w:pPr>
        <w:rPr>
          <w:rFonts w:ascii="Gill Sans MT" w:hAnsi="Gill Sans MT" w:cstheme="minorHAnsi"/>
          <w:sz w:val="24"/>
          <w:szCs w:val="24"/>
        </w:rPr>
      </w:pPr>
      <w:r w:rsidRPr="00AA7AA3">
        <w:rPr>
          <w:rFonts w:ascii="Gill Sans MT" w:hAnsi="Gill Sans MT" w:cstheme="minorHAnsi"/>
          <w:sz w:val="24"/>
          <w:szCs w:val="24"/>
        </w:rPr>
        <w:t xml:space="preserve">Feedback from AES members for both this submission and its recent submission to the </w:t>
      </w:r>
      <w:r w:rsidRPr="00AA7AA3">
        <w:rPr>
          <w:rFonts w:ascii="Gill Sans MT" w:hAnsi="Gill Sans MT" w:cstheme="minorHAnsi"/>
          <w:i/>
          <w:sz w:val="24"/>
          <w:szCs w:val="24"/>
        </w:rPr>
        <w:t>PGPA Act 2013 and Rule Independent Review</w:t>
      </w:r>
      <w:r w:rsidRPr="00AA7AA3">
        <w:rPr>
          <w:rFonts w:ascii="Gill Sans MT" w:hAnsi="Gill Sans MT" w:cstheme="minorHAnsi"/>
          <w:sz w:val="24"/>
          <w:szCs w:val="24"/>
        </w:rPr>
        <w:t xml:space="preserve"> suggest</w:t>
      </w:r>
      <w:r w:rsidR="00434892">
        <w:rPr>
          <w:rFonts w:ascii="Gill Sans MT" w:hAnsi="Gill Sans MT" w:cstheme="minorHAnsi"/>
          <w:sz w:val="24"/>
          <w:szCs w:val="24"/>
        </w:rPr>
        <w:t>s that</w:t>
      </w:r>
      <w:r w:rsidRPr="00AA7AA3">
        <w:rPr>
          <w:rFonts w:ascii="Gill Sans MT" w:hAnsi="Gill Sans MT" w:cstheme="minorHAnsi"/>
          <w:sz w:val="24"/>
          <w:szCs w:val="24"/>
        </w:rPr>
        <w:t xml:space="preserve"> the reforms have had a positive impact within government. In a number of APS </w:t>
      </w:r>
      <w:r w:rsidR="002D13B0" w:rsidRPr="00AA7AA3">
        <w:rPr>
          <w:rFonts w:ascii="Gill Sans MT" w:hAnsi="Gill Sans MT" w:cstheme="minorHAnsi"/>
          <w:sz w:val="24"/>
          <w:szCs w:val="24"/>
        </w:rPr>
        <w:t>entities,</w:t>
      </w:r>
      <w:r w:rsidRPr="00AA7AA3">
        <w:rPr>
          <w:rFonts w:ascii="Gill Sans MT" w:hAnsi="Gill Sans MT" w:cstheme="minorHAnsi"/>
          <w:sz w:val="24"/>
          <w:szCs w:val="24"/>
        </w:rPr>
        <w:t xml:space="preserve"> it has </w:t>
      </w:r>
      <w:r w:rsidR="00434892">
        <w:rPr>
          <w:rFonts w:ascii="Gill Sans MT" w:hAnsi="Gill Sans MT" w:cstheme="minorHAnsi"/>
          <w:sz w:val="24"/>
          <w:szCs w:val="24"/>
        </w:rPr>
        <w:t>led</w:t>
      </w:r>
      <w:r w:rsidRPr="00AA7AA3">
        <w:rPr>
          <w:rFonts w:ascii="Gill Sans MT" w:hAnsi="Gill Sans MT" w:cstheme="minorHAnsi"/>
          <w:sz w:val="24"/>
          <w:szCs w:val="24"/>
        </w:rPr>
        <w:t xml:space="preserve"> to a greater focus on outcomes at both the program and broader policy level.</w:t>
      </w:r>
      <w:r w:rsidR="002D13B0" w:rsidRPr="00AA7AA3">
        <w:rPr>
          <w:rFonts w:ascii="Gill Sans MT" w:hAnsi="Gill Sans MT" w:cstheme="minorHAnsi"/>
          <w:sz w:val="24"/>
          <w:szCs w:val="24"/>
        </w:rPr>
        <w:t xml:space="preserve"> </w:t>
      </w:r>
    </w:p>
    <w:p w14:paraId="6226A21E" w14:textId="379CAEA1" w:rsidR="007B7464" w:rsidRPr="00AA7AA3" w:rsidRDefault="00A86B2E" w:rsidP="00214658">
      <w:pPr>
        <w:rPr>
          <w:rFonts w:ascii="Gill Sans MT" w:hAnsi="Gill Sans MT" w:cstheme="minorHAnsi"/>
          <w:sz w:val="24"/>
          <w:szCs w:val="24"/>
        </w:rPr>
      </w:pPr>
      <w:r>
        <w:rPr>
          <w:rFonts w:ascii="Gill Sans MT" w:hAnsi="Gill Sans MT" w:cstheme="minorHAnsi"/>
          <w:sz w:val="24"/>
          <w:szCs w:val="24"/>
        </w:rPr>
        <w:t>T</w:t>
      </w:r>
      <w:r w:rsidR="00941016" w:rsidRPr="00AA7AA3">
        <w:rPr>
          <w:rFonts w:ascii="Gill Sans MT" w:hAnsi="Gill Sans MT" w:cstheme="minorHAnsi"/>
          <w:sz w:val="24"/>
          <w:szCs w:val="24"/>
        </w:rPr>
        <w:t xml:space="preserve">his feedback </w:t>
      </w:r>
      <w:r w:rsidR="00753E7B" w:rsidRPr="00AA7AA3">
        <w:rPr>
          <w:rFonts w:ascii="Gill Sans MT" w:hAnsi="Gill Sans MT" w:cstheme="minorHAnsi"/>
          <w:sz w:val="24"/>
          <w:szCs w:val="24"/>
        </w:rPr>
        <w:t xml:space="preserve">also </w:t>
      </w:r>
      <w:r w:rsidR="00467B15" w:rsidRPr="00AA7AA3">
        <w:rPr>
          <w:rFonts w:ascii="Gill Sans MT" w:hAnsi="Gill Sans MT" w:cstheme="minorHAnsi"/>
          <w:sz w:val="24"/>
          <w:szCs w:val="24"/>
        </w:rPr>
        <w:t>i</w:t>
      </w:r>
      <w:r w:rsidR="00941016" w:rsidRPr="00AA7AA3">
        <w:rPr>
          <w:rFonts w:ascii="Gill Sans MT" w:hAnsi="Gill Sans MT" w:cstheme="minorHAnsi"/>
          <w:sz w:val="24"/>
          <w:szCs w:val="24"/>
        </w:rPr>
        <w:t>ndicates</w:t>
      </w:r>
      <w:r w:rsidR="00B25BF0" w:rsidRPr="00AA7AA3">
        <w:rPr>
          <w:rFonts w:ascii="Gill Sans MT" w:hAnsi="Gill Sans MT" w:cstheme="minorHAnsi"/>
          <w:sz w:val="24"/>
          <w:szCs w:val="24"/>
        </w:rPr>
        <w:t xml:space="preserve"> </w:t>
      </w:r>
      <w:r>
        <w:rPr>
          <w:rFonts w:ascii="Gill Sans MT" w:hAnsi="Gill Sans MT" w:cstheme="minorHAnsi"/>
          <w:sz w:val="24"/>
          <w:szCs w:val="24"/>
        </w:rPr>
        <w:t>that there</w:t>
      </w:r>
      <w:r w:rsidR="00753E7B" w:rsidRPr="00AA7AA3">
        <w:rPr>
          <w:rFonts w:ascii="Gill Sans MT" w:hAnsi="Gill Sans MT" w:cstheme="minorHAnsi"/>
          <w:sz w:val="24"/>
          <w:szCs w:val="24"/>
        </w:rPr>
        <w:t xml:space="preserve"> are </w:t>
      </w:r>
      <w:r>
        <w:rPr>
          <w:rFonts w:ascii="Gill Sans MT" w:hAnsi="Gill Sans MT" w:cstheme="minorHAnsi"/>
          <w:sz w:val="24"/>
          <w:szCs w:val="24"/>
        </w:rPr>
        <w:t xml:space="preserve">a </w:t>
      </w:r>
      <w:r w:rsidR="00B25BF0" w:rsidRPr="00AA7AA3">
        <w:rPr>
          <w:rFonts w:ascii="Gill Sans MT" w:hAnsi="Gill Sans MT" w:cstheme="minorHAnsi"/>
          <w:sz w:val="24"/>
          <w:szCs w:val="24"/>
        </w:rPr>
        <w:t xml:space="preserve">number of areas for further development in terms of </w:t>
      </w:r>
      <w:r w:rsidR="00467B15" w:rsidRPr="00AA7AA3">
        <w:rPr>
          <w:rFonts w:ascii="Gill Sans MT" w:hAnsi="Gill Sans MT" w:cstheme="minorHAnsi"/>
          <w:sz w:val="24"/>
          <w:szCs w:val="24"/>
        </w:rPr>
        <w:t xml:space="preserve">the APS being able to commission, </w:t>
      </w:r>
      <w:r w:rsidR="00753E7B" w:rsidRPr="00AA7AA3">
        <w:rPr>
          <w:rFonts w:ascii="Gill Sans MT" w:hAnsi="Gill Sans MT" w:cstheme="minorHAnsi"/>
          <w:sz w:val="24"/>
          <w:szCs w:val="24"/>
        </w:rPr>
        <w:t>fund, project manage</w:t>
      </w:r>
      <w:r>
        <w:rPr>
          <w:rFonts w:ascii="Gill Sans MT" w:hAnsi="Gill Sans MT" w:cstheme="minorHAnsi"/>
          <w:sz w:val="24"/>
          <w:szCs w:val="24"/>
        </w:rPr>
        <w:t>,</w:t>
      </w:r>
      <w:r w:rsidR="00753E7B" w:rsidRPr="00AA7AA3">
        <w:rPr>
          <w:rFonts w:ascii="Gill Sans MT" w:hAnsi="Gill Sans MT" w:cstheme="minorHAnsi"/>
          <w:sz w:val="24"/>
          <w:szCs w:val="24"/>
        </w:rPr>
        <w:t xml:space="preserve"> and utilise evaluations that provide a sound, rigorous evidence base on which to provide high quality advice to government on policy, programs and services.</w:t>
      </w:r>
    </w:p>
    <w:p w14:paraId="4A215D17" w14:textId="2737417D" w:rsidR="00304D5F" w:rsidRPr="00AA7AA3" w:rsidRDefault="004244E7" w:rsidP="00214658">
      <w:pPr>
        <w:rPr>
          <w:rFonts w:ascii="Gill Sans MT" w:hAnsi="Gill Sans MT" w:cstheme="minorHAnsi"/>
          <w:sz w:val="24"/>
          <w:szCs w:val="24"/>
        </w:rPr>
      </w:pPr>
      <w:r w:rsidRPr="00AA7AA3">
        <w:rPr>
          <w:rFonts w:ascii="Gill Sans MT" w:hAnsi="Gill Sans MT" w:cstheme="minorHAnsi"/>
          <w:sz w:val="24"/>
          <w:szCs w:val="24"/>
        </w:rPr>
        <w:t xml:space="preserve">Embedding reform has been an ongoing challenge for governments at all levels in Australia. In its submission to the </w:t>
      </w:r>
      <w:r w:rsidRPr="00AA7AA3">
        <w:rPr>
          <w:rFonts w:ascii="Gill Sans MT" w:hAnsi="Gill Sans MT" w:cstheme="minorHAnsi"/>
          <w:i/>
          <w:sz w:val="24"/>
          <w:szCs w:val="24"/>
        </w:rPr>
        <w:t>PGPA Act 2013 and Rule Independent Review</w:t>
      </w:r>
      <w:r w:rsidRPr="00AA7AA3">
        <w:rPr>
          <w:rFonts w:ascii="Gill Sans MT" w:hAnsi="Gill Sans MT" w:cstheme="minorHAnsi"/>
          <w:sz w:val="24"/>
          <w:szCs w:val="24"/>
        </w:rPr>
        <w:t xml:space="preserve"> the AES noted that </w:t>
      </w:r>
      <w:r w:rsidR="00B953CE" w:rsidRPr="00AA7AA3">
        <w:rPr>
          <w:rFonts w:ascii="Gill Sans MT" w:hAnsi="Gill Sans MT" w:cstheme="minorHAnsi"/>
          <w:sz w:val="24"/>
          <w:szCs w:val="24"/>
        </w:rPr>
        <w:t>c</w:t>
      </w:r>
      <w:r w:rsidR="001157FF" w:rsidRPr="00AA7AA3">
        <w:rPr>
          <w:rFonts w:ascii="Gill Sans MT" w:hAnsi="Gill Sans MT" w:cstheme="minorHAnsi"/>
          <w:sz w:val="24"/>
          <w:szCs w:val="24"/>
        </w:rPr>
        <w:t>halle</w:t>
      </w:r>
      <w:r w:rsidR="00B953CE" w:rsidRPr="00AA7AA3">
        <w:rPr>
          <w:rFonts w:ascii="Gill Sans MT" w:hAnsi="Gill Sans MT" w:cstheme="minorHAnsi"/>
          <w:sz w:val="24"/>
          <w:szCs w:val="24"/>
        </w:rPr>
        <w:t xml:space="preserve">nges remain </w:t>
      </w:r>
      <w:r w:rsidR="002D13B0" w:rsidRPr="00AA7AA3">
        <w:rPr>
          <w:rFonts w:ascii="Gill Sans MT" w:hAnsi="Gill Sans MT" w:cstheme="minorHAnsi"/>
          <w:sz w:val="24"/>
          <w:szCs w:val="24"/>
        </w:rPr>
        <w:t xml:space="preserve">to </w:t>
      </w:r>
      <w:r w:rsidR="00B953CE" w:rsidRPr="00AA7AA3">
        <w:rPr>
          <w:rFonts w:ascii="Gill Sans MT" w:hAnsi="Gill Sans MT" w:cstheme="minorHAnsi"/>
          <w:sz w:val="24"/>
          <w:szCs w:val="24"/>
        </w:rPr>
        <w:t xml:space="preserve">embed this reform, which are also relevant to the terms of reference to this inquiry. These </w:t>
      </w:r>
      <w:r w:rsidR="002072F2" w:rsidRPr="00AA7AA3">
        <w:rPr>
          <w:rFonts w:ascii="Gill Sans MT" w:hAnsi="Gill Sans MT" w:cstheme="minorHAnsi"/>
          <w:sz w:val="24"/>
          <w:szCs w:val="24"/>
        </w:rPr>
        <w:t>and other</w:t>
      </w:r>
      <w:r w:rsidR="00E20290" w:rsidRPr="00AA7AA3">
        <w:rPr>
          <w:rFonts w:ascii="Gill Sans MT" w:hAnsi="Gill Sans MT" w:cstheme="minorHAnsi"/>
          <w:sz w:val="24"/>
          <w:szCs w:val="24"/>
        </w:rPr>
        <w:t xml:space="preserve"> challenges</w:t>
      </w:r>
      <w:r w:rsidR="002072F2" w:rsidRPr="00AA7AA3">
        <w:rPr>
          <w:rFonts w:ascii="Gill Sans MT" w:hAnsi="Gill Sans MT" w:cstheme="minorHAnsi"/>
          <w:sz w:val="24"/>
          <w:szCs w:val="24"/>
        </w:rPr>
        <w:t xml:space="preserve"> </w:t>
      </w:r>
      <w:r w:rsidR="00B953CE" w:rsidRPr="00AA7AA3">
        <w:rPr>
          <w:rFonts w:ascii="Gill Sans MT" w:hAnsi="Gill Sans MT" w:cstheme="minorHAnsi"/>
          <w:sz w:val="24"/>
          <w:szCs w:val="24"/>
        </w:rPr>
        <w:t>are outlined below</w:t>
      </w:r>
      <w:r w:rsidR="00304D5F" w:rsidRPr="00AA7AA3">
        <w:rPr>
          <w:rFonts w:ascii="Gill Sans MT" w:hAnsi="Gill Sans MT" w:cstheme="minorHAnsi"/>
          <w:sz w:val="24"/>
          <w:szCs w:val="24"/>
        </w:rPr>
        <w:t>:</w:t>
      </w:r>
    </w:p>
    <w:p w14:paraId="251D2835" w14:textId="0DD81EEC" w:rsidR="007B0223" w:rsidRPr="00AA7AA3" w:rsidRDefault="00A73DC6" w:rsidP="00214658">
      <w:pPr>
        <w:keepNext/>
        <w:spacing w:after="120"/>
        <w:rPr>
          <w:rFonts w:ascii="Gill Sans MT" w:hAnsi="Gill Sans MT" w:cstheme="minorHAnsi"/>
          <w:i/>
          <w:sz w:val="24"/>
          <w:szCs w:val="24"/>
          <w:u w:val="single"/>
        </w:rPr>
      </w:pPr>
      <w:r w:rsidRPr="00AA7AA3">
        <w:rPr>
          <w:rFonts w:ascii="Gill Sans MT" w:hAnsi="Gill Sans MT" w:cstheme="minorHAnsi"/>
          <w:i/>
          <w:sz w:val="24"/>
          <w:szCs w:val="24"/>
          <w:u w:val="single"/>
        </w:rPr>
        <w:t xml:space="preserve">Insufficient </w:t>
      </w:r>
      <w:r w:rsidR="00E20290" w:rsidRPr="00AA7AA3">
        <w:rPr>
          <w:rFonts w:ascii="Gill Sans MT" w:hAnsi="Gill Sans MT" w:cstheme="minorHAnsi"/>
          <w:i/>
          <w:sz w:val="24"/>
          <w:szCs w:val="24"/>
          <w:u w:val="single"/>
        </w:rPr>
        <w:t>i</w:t>
      </w:r>
      <w:r w:rsidR="007B0223" w:rsidRPr="00AA7AA3">
        <w:rPr>
          <w:rFonts w:ascii="Gill Sans MT" w:hAnsi="Gill Sans MT" w:cstheme="minorHAnsi"/>
          <w:i/>
          <w:sz w:val="24"/>
          <w:szCs w:val="24"/>
          <w:u w:val="single"/>
        </w:rPr>
        <w:t>ncentives</w:t>
      </w:r>
      <w:r w:rsidR="00F84723" w:rsidRPr="00AA7AA3">
        <w:rPr>
          <w:rFonts w:ascii="Gill Sans MT" w:hAnsi="Gill Sans MT" w:cstheme="minorHAnsi"/>
          <w:i/>
          <w:sz w:val="24"/>
          <w:szCs w:val="24"/>
          <w:u w:val="single"/>
        </w:rPr>
        <w:t xml:space="preserve"> for </w:t>
      </w:r>
      <w:r w:rsidR="007B0223" w:rsidRPr="00AA7AA3">
        <w:rPr>
          <w:rFonts w:ascii="Gill Sans MT" w:hAnsi="Gill Sans MT" w:cstheme="minorHAnsi"/>
          <w:i/>
          <w:sz w:val="24"/>
          <w:szCs w:val="24"/>
          <w:u w:val="single"/>
        </w:rPr>
        <w:t>entities</w:t>
      </w:r>
      <w:r w:rsidR="00F84723" w:rsidRPr="00AA7AA3">
        <w:rPr>
          <w:rFonts w:ascii="Gill Sans MT" w:hAnsi="Gill Sans MT" w:cstheme="minorHAnsi"/>
          <w:i/>
          <w:sz w:val="24"/>
          <w:szCs w:val="24"/>
          <w:u w:val="single"/>
        </w:rPr>
        <w:t xml:space="preserve"> to fully engage in</w:t>
      </w:r>
      <w:r w:rsidR="00753E7B" w:rsidRPr="00AA7AA3">
        <w:rPr>
          <w:rFonts w:ascii="Gill Sans MT" w:hAnsi="Gill Sans MT" w:cstheme="minorHAnsi"/>
          <w:i/>
          <w:sz w:val="24"/>
          <w:szCs w:val="24"/>
          <w:u w:val="single"/>
        </w:rPr>
        <w:t xml:space="preserve"> the spirit and substance of current performance</w:t>
      </w:r>
      <w:r w:rsidR="00F84723" w:rsidRPr="00AA7AA3">
        <w:rPr>
          <w:rFonts w:ascii="Gill Sans MT" w:hAnsi="Gill Sans MT" w:cstheme="minorHAnsi"/>
          <w:i/>
          <w:sz w:val="24"/>
          <w:szCs w:val="24"/>
          <w:u w:val="single"/>
        </w:rPr>
        <w:t xml:space="preserve"> reforms</w:t>
      </w:r>
    </w:p>
    <w:p w14:paraId="1B8745DC" w14:textId="55029E48" w:rsidR="00B25BF0" w:rsidRPr="00AA7AA3" w:rsidRDefault="007B0223" w:rsidP="00214658">
      <w:pPr>
        <w:keepNext/>
        <w:rPr>
          <w:rFonts w:ascii="Gill Sans MT" w:hAnsi="Gill Sans MT" w:cstheme="minorHAnsi"/>
          <w:sz w:val="24"/>
          <w:szCs w:val="24"/>
        </w:rPr>
      </w:pPr>
      <w:r w:rsidRPr="00AA7AA3">
        <w:rPr>
          <w:rFonts w:ascii="Gill Sans MT" w:hAnsi="Gill Sans MT" w:cstheme="minorHAnsi"/>
          <w:sz w:val="24"/>
          <w:szCs w:val="24"/>
        </w:rPr>
        <w:t>AES members have reported contrasting responses in terms of resourcing, effort and commitment</w:t>
      </w:r>
      <w:r w:rsidR="00A9098C" w:rsidRPr="00AA7AA3">
        <w:rPr>
          <w:rFonts w:ascii="Gill Sans MT" w:hAnsi="Gill Sans MT" w:cstheme="minorHAnsi"/>
          <w:sz w:val="24"/>
          <w:szCs w:val="24"/>
        </w:rPr>
        <w:t xml:space="preserve"> from entities</w:t>
      </w:r>
      <w:r w:rsidRPr="00AA7AA3">
        <w:rPr>
          <w:rFonts w:ascii="Gill Sans MT" w:hAnsi="Gill Sans MT" w:cstheme="minorHAnsi"/>
          <w:sz w:val="24"/>
          <w:szCs w:val="24"/>
        </w:rPr>
        <w:t xml:space="preserve">. At one end, </w:t>
      </w:r>
      <w:r w:rsidR="00941016" w:rsidRPr="00AA7AA3">
        <w:rPr>
          <w:rFonts w:ascii="Gill Sans MT" w:hAnsi="Gill Sans MT" w:cstheme="minorHAnsi"/>
          <w:sz w:val="24"/>
          <w:szCs w:val="24"/>
        </w:rPr>
        <w:t>there are cases of increased development in information technology and reporting architecture, increased resourcing to the evaluation function, and a clearer understanding of the role and linkages from evaluation practice through performance and information management, to achieving accountability via being able to tell a performance story. At the other</w:t>
      </w:r>
      <w:r w:rsidR="007F55A1">
        <w:rPr>
          <w:rFonts w:ascii="Gill Sans MT" w:hAnsi="Gill Sans MT" w:cstheme="minorHAnsi"/>
          <w:sz w:val="24"/>
          <w:szCs w:val="24"/>
        </w:rPr>
        <w:t xml:space="preserve"> end</w:t>
      </w:r>
      <w:r w:rsidR="00941016" w:rsidRPr="00AA7AA3">
        <w:rPr>
          <w:rFonts w:ascii="Gill Sans MT" w:hAnsi="Gill Sans MT" w:cstheme="minorHAnsi"/>
          <w:sz w:val="24"/>
          <w:szCs w:val="24"/>
        </w:rPr>
        <w:t xml:space="preserve">, </w:t>
      </w:r>
      <w:r w:rsidRPr="00AA7AA3">
        <w:rPr>
          <w:rFonts w:ascii="Gill Sans MT" w:hAnsi="Gill Sans MT" w:cstheme="minorHAnsi"/>
          <w:sz w:val="24"/>
          <w:szCs w:val="24"/>
        </w:rPr>
        <w:t xml:space="preserve">there are indications </w:t>
      </w:r>
      <w:r w:rsidR="00A9098C" w:rsidRPr="00AA7AA3">
        <w:rPr>
          <w:rFonts w:ascii="Gill Sans MT" w:hAnsi="Gill Sans MT" w:cstheme="minorHAnsi"/>
          <w:sz w:val="24"/>
          <w:szCs w:val="24"/>
        </w:rPr>
        <w:t>of</w:t>
      </w:r>
      <w:r w:rsidRPr="00AA7AA3">
        <w:rPr>
          <w:rFonts w:ascii="Gill Sans MT" w:hAnsi="Gill Sans MT" w:cstheme="minorHAnsi"/>
          <w:sz w:val="24"/>
          <w:szCs w:val="24"/>
        </w:rPr>
        <w:t xml:space="preserve"> agencies </w:t>
      </w:r>
      <w:r w:rsidR="00A9098C" w:rsidRPr="00AA7AA3">
        <w:rPr>
          <w:rFonts w:ascii="Gill Sans MT" w:hAnsi="Gill Sans MT" w:cstheme="minorHAnsi"/>
          <w:sz w:val="24"/>
          <w:szCs w:val="24"/>
        </w:rPr>
        <w:t xml:space="preserve">that </w:t>
      </w:r>
      <w:r w:rsidRPr="00AA7AA3">
        <w:rPr>
          <w:rFonts w:ascii="Gill Sans MT" w:hAnsi="Gill Sans MT" w:cstheme="minorHAnsi"/>
          <w:sz w:val="24"/>
          <w:szCs w:val="24"/>
        </w:rPr>
        <w:t xml:space="preserve">have reduced their effort and investment in evaluation and performance reporting. </w:t>
      </w:r>
    </w:p>
    <w:p w14:paraId="4C4EB8B6" w14:textId="2430A22C" w:rsidR="00753E7B" w:rsidRPr="00AA7AA3" w:rsidRDefault="00941016" w:rsidP="00214658">
      <w:pPr>
        <w:keepNext/>
        <w:rPr>
          <w:rFonts w:ascii="Gill Sans MT" w:hAnsi="Gill Sans MT" w:cstheme="minorHAnsi"/>
          <w:sz w:val="24"/>
          <w:szCs w:val="24"/>
        </w:rPr>
      </w:pPr>
      <w:r w:rsidRPr="00AA7AA3">
        <w:rPr>
          <w:rFonts w:ascii="Gill Sans MT" w:hAnsi="Gill Sans MT" w:cstheme="minorHAnsi"/>
          <w:sz w:val="24"/>
          <w:szCs w:val="24"/>
        </w:rPr>
        <w:t xml:space="preserve">The draft </w:t>
      </w:r>
      <w:r w:rsidRPr="00AA7AA3">
        <w:rPr>
          <w:rFonts w:ascii="Gill Sans MT" w:hAnsi="Gill Sans MT" w:cstheme="minorHAnsi"/>
          <w:i/>
          <w:sz w:val="24"/>
          <w:szCs w:val="24"/>
        </w:rPr>
        <w:t>Report of the Independent Review of the PGPA Act and Rule</w:t>
      </w:r>
      <w:r w:rsidRPr="00AA7AA3">
        <w:rPr>
          <w:rFonts w:ascii="Gill Sans MT" w:hAnsi="Gill Sans MT" w:cstheme="minorHAnsi"/>
          <w:sz w:val="24"/>
          <w:szCs w:val="24"/>
        </w:rPr>
        <w:t xml:space="preserve"> found that “</w:t>
      </w:r>
      <w:r w:rsidRPr="00AA7AA3">
        <w:rPr>
          <w:rFonts w:ascii="Gill Sans MT" w:hAnsi="Gill Sans MT" w:cstheme="minorHAnsi"/>
          <w:i/>
          <w:sz w:val="24"/>
          <w:szCs w:val="24"/>
        </w:rPr>
        <w:t>Accountable authorities should also drive a wider use of policy evaluation approaches by government departments to improve the quality of performance reporting. Academics suggested to us that the use of independent evaluation of government programs and services could be increased and was more frequent in the 1990s than it is now.</w:t>
      </w:r>
      <w:r w:rsidRPr="00AA7AA3">
        <w:rPr>
          <w:rFonts w:ascii="Gill Sans MT" w:hAnsi="Gill Sans MT" w:cstheme="minorHAnsi"/>
          <w:i/>
          <w:sz w:val="24"/>
          <w:szCs w:val="24"/>
          <w:vertAlign w:val="superscript"/>
        </w:rPr>
        <w:footnoteReference w:id="11"/>
      </w:r>
      <w:r w:rsidRPr="00AA7AA3">
        <w:rPr>
          <w:rFonts w:ascii="Gill Sans MT" w:hAnsi="Gill Sans MT" w:cstheme="minorHAnsi"/>
          <w:sz w:val="24"/>
          <w:szCs w:val="24"/>
        </w:rPr>
        <w:t>”</w:t>
      </w:r>
      <w:r w:rsidR="007B0720" w:rsidRPr="00AA7AA3">
        <w:rPr>
          <w:rFonts w:ascii="Gill Sans MT" w:hAnsi="Gill Sans MT" w:cstheme="minorHAnsi"/>
          <w:sz w:val="24"/>
          <w:szCs w:val="24"/>
        </w:rPr>
        <w:t xml:space="preserve"> </w:t>
      </w:r>
    </w:p>
    <w:p w14:paraId="0A1DFB95" w14:textId="5B722B41" w:rsidR="0024096E" w:rsidRPr="00AA7AA3" w:rsidRDefault="0024096E" w:rsidP="00214658">
      <w:pPr>
        <w:rPr>
          <w:rFonts w:ascii="Gill Sans MT" w:hAnsi="Gill Sans MT" w:cstheme="minorHAnsi"/>
          <w:sz w:val="24"/>
          <w:szCs w:val="24"/>
        </w:rPr>
      </w:pPr>
      <w:r w:rsidRPr="00AA7AA3">
        <w:rPr>
          <w:rFonts w:ascii="Gill Sans MT" w:hAnsi="Gill Sans MT" w:cstheme="minorHAnsi"/>
          <w:sz w:val="24"/>
          <w:szCs w:val="24"/>
        </w:rPr>
        <w:t>Good performance management and reporting (as noted by D</w:t>
      </w:r>
      <w:r w:rsidR="00A9098C" w:rsidRPr="00AA7AA3">
        <w:rPr>
          <w:rFonts w:ascii="Gill Sans MT" w:hAnsi="Gill Sans MT" w:cstheme="minorHAnsi"/>
          <w:sz w:val="24"/>
          <w:szCs w:val="24"/>
        </w:rPr>
        <w:t xml:space="preserve">epartment </w:t>
      </w:r>
      <w:r w:rsidRPr="00AA7AA3">
        <w:rPr>
          <w:rFonts w:ascii="Gill Sans MT" w:hAnsi="Gill Sans MT" w:cstheme="minorHAnsi"/>
          <w:sz w:val="24"/>
          <w:szCs w:val="24"/>
        </w:rPr>
        <w:t>o</w:t>
      </w:r>
      <w:r w:rsidR="00A9098C" w:rsidRPr="00AA7AA3">
        <w:rPr>
          <w:rFonts w:ascii="Gill Sans MT" w:hAnsi="Gill Sans MT" w:cstheme="minorHAnsi"/>
          <w:sz w:val="24"/>
          <w:szCs w:val="24"/>
        </w:rPr>
        <w:t xml:space="preserve">f </w:t>
      </w:r>
      <w:r w:rsidRPr="00AA7AA3">
        <w:rPr>
          <w:rFonts w:ascii="Gill Sans MT" w:hAnsi="Gill Sans MT" w:cstheme="minorHAnsi"/>
          <w:sz w:val="24"/>
          <w:szCs w:val="24"/>
        </w:rPr>
        <w:t>F</w:t>
      </w:r>
      <w:r w:rsidR="00A9098C" w:rsidRPr="00AA7AA3">
        <w:rPr>
          <w:rFonts w:ascii="Gill Sans MT" w:hAnsi="Gill Sans MT" w:cstheme="minorHAnsi"/>
          <w:sz w:val="24"/>
          <w:szCs w:val="24"/>
        </w:rPr>
        <w:t>inance</w:t>
      </w:r>
      <w:r w:rsidRPr="00AA7AA3">
        <w:rPr>
          <w:rFonts w:ascii="Gill Sans MT" w:hAnsi="Gill Sans MT" w:cstheme="minorHAnsi"/>
          <w:sz w:val="24"/>
          <w:szCs w:val="24"/>
        </w:rPr>
        <w:t>) also means engaging with risk</w:t>
      </w:r>
      <w:r w:rsidR="00A64D89" w:rsidRPr="00AA7AA3">
        <w:rPr>
          <w:rFonts w:ascii="Gill Sans MT" w:hAnsi="Gill Sans MT" w:cstheme="minorHAnsi"/>
          <w:sz w:val="24"/>
          <w:szCs w:val="24"/>
        </w:rPr>
        <w:t xml:space="preserve"> – including being willing to innovate and even ‘to fail’</w:t>
      </w:r>
      <w:r w:rsidRPr="00AA7AA3">
        <w:rPr>
          <w:rFonts w:ascii="Gill Sans MT" w:hAnsi="Gill Sans MT" w:cstheme="minorHAnsi"/>
          <w:sz w:val="24"/>
          <w:szCs w:val="24"/>
        </w:rPr>
        <w:t xml:space="preserve">. </w:t>
      </w:r>
      <w:r w:rsidR="00AE4C52" w:rsidRPr="00AA7AA3">
        <w:rPr>
          <w:rFonts w:ascii="Gill Sans MT" w:hAnsi="Gill Sans MT" w:cstheme="minorHAnsi"/>
          <w:sz w:val="24"/>
          <w:szCs w:val="24"/>
        </w:rPr>
        <w:t xml:space="preserve">Engaging with risk is not straightforward in an environment where political dynamics and considerations exist. </w:t>
      </w:r>
      <w:r w:rsidRPr="00AA7AA3">
        <w:rPr>
          <w:rFonts w:ascii="Gill Sans MT" w:hAnsi="Gill Sans MT" w:cstheme="minorHAnsi"/>
          <w:sz w:val="24"/>
          <w:szCs w:val="24"/>
        </w:rPr>
        <w:t>A question that has been raised by a number</w:t>
      </w:r>
      <w:r w:rsidR="00F43BEB">
        <w:rPr>
          <w:rFonts w:ascii="Gill Sans MT" w:hAnsi="Gill Sans MT" w:cstheme="minorHAnsi"/>
          <w:sz w:val="24"/>
          <w:szCs w:val="24"/>
        </w:rPr>
        <w:t xml:space="preserve"> </w:t>
      </w:r>
      <w:r w:rsidRPr="00AA7AA3">
        <w:rPr>
          <w:rFonts w:ascii="Gill Sans MT" w:hAnsi="Gill Sans MT" w:cstheme="minorHAnsi"/>
          <w:sz w:val="24"/>
          <w:szCs w:val="24"/>
        </w:rPr>
        <w:t xml:space="preserve">of </w:t>
      </w:r>
      <w:r w:rsidR="00F43BEB">
        <w:rPr>
          <w:rFonts w:ascii="Gill Sans MT" w:hAnsi="Gill Sans MT" w:cstheme="minorHAnsi"/>
          <w:sz w:val="24"/>
          <w:szCs w:val="24"/>
        </w:rPr>
        <w:t xml:space="preserve">AES </w:t>
      </w:r>
      <w:r w:rsidRPr="00AA7AA3">
        <w:rPr>
          <w:rFonts w:ascii="Gill Sans MT" w:hAnsi="Gill Sans MT" w:cstheme="minorHAnsi"/>
          <w:sz w:val="24"/>
          <w:szCs w:val="24"/>
        </w:rPr>
        <w:t>members has been one of incentives</w:t>
      </w:r>
      <w:r w:rsidR="00F43BEB">
        <w:rPr>
          <w:rFonts w:ascii="Gill Sans MT" w:hAnsi="Gill Sans MT" w:cstheme="minorHAnsi"/>
          <w:sz w:val="24"/>
          <w:szCs w:val="24"/>
        </w:rPr>
        <w:t>;</w:t>
      </w:r>
      <w:r w:rsidRPr="00AA7AA3">
        <w:rPr>
          <w:rFonts w:ascii="Gill Sans MT" w:hAnsi="Gill Sans MT" w:cstheme="minorHAnsi"/>
          <w:sz w:val="24"/>
          <w:szCs w:val="24"/>
        </w:rPr>
        <w:t xml:space="preserve"> namely whether existing APS leadership incentives are an</w:t>
      </w:r>
      <w:r w:rsidR="00FB763C" w:rsidRPr="00AA7AA3">
        <w:rPr>
          <w:rFonts w:ascii="Gill Sans MT" w:hAnsi="Gill Sans MT" w:cstheme="minorHAnsi"/>
          <w:sz w:val="24"/>
          <w:szCs w:val="24"/>
        </w:rPr>
        <w:t>t</w:t>
      </w:r>
      <w:r w:rsidRPr="00AA7AA3">
        <w:rPr>
          <w:rFonts w:ascii="Gill Sans MT" w:hAnsi="Gill Sans MT" w:cstheme="minorHAnsi"/>
          <w:sz w:val="24"/>
          <w:szCs w:val="24"/>
        </w:rPr>
        <w:t>ith</w:t>
      </w:r>
      <w:r w:rsidR="00FB763C" w:rsidRPr="00AA7AA3">
        <w:rPr>
          <w:rFonts w:ascii="Gill Sans MT" w:hAnsi="Gill Sans MT" w:cstheme="minorHAnsi"/>
          <w:sz w:val="24"/>
          <w:szCs w:val="24"/>
        </w:rPr>
        <w:t>et</w:t>
      </w:r>
      <w:r w:rsidRPr="00AA7AA3">
        <w:rPr>
          <w:rFonts w:ascii="Gill Sans MT" w:hAnsi="Gill Sans MT" w:cstheme="minorHAnsi"/>
          <w:sz w:val="24"/>
          <w:szCs w:val="24"/>
        </w:rPr>
        <w:t xml:space="preserve">ical and incompatible </w:t>
      </w:r>
      <w:r w:rsidR="00080173" w:rsidRPr="00AA7AA3">
        <w:rPr>
          <w:rFonts w:ascii="Gill Sans MT" w:hAnsi="Gill Sans MT" w:cstheme="minorHAnsi"/>
          <w:sz w:val="24"/>
          <w:szCs w:val="24"/>
        </w:rPr>
        <w:t>with</w:t>
      </w:r>
      <w:r w:rsidRPr="00AA7AA3">
        <w:rPr>
          <w:rFonts w:ascii="Gill Sans MT" w:hAnsi="Gill Sans MT" w:cstheme="minorHAnsi"/>
          <w:sz w:val="24"/>
          <w:szCs w:val="24"/>
        </w:rPr>
        <w:t xml:space="preserve"> </w:t>
      </w:r>
      <w:r w:rsidR="00A9098C" w:rsidRPr="00AA7AA3">
        <w:rPr>
          <w:rFonts w:ascii="Gill Sans MT" w:hAnsi="Gill Sans MT" w:cstheme="minorHAnsi"/>
          <w:sz w:val="24"/>
          <w:szCs w:val="24"/>
        </w:rPr>
        <w:t xml:space="preserve">“performance </w:t>
      </w:r>
      <w:r w:rsidRPr="00AA7AA3">
        <w:rPr>
          <w:rFonts w:ascii="Gill Sans MT" w:hAnsi="Gill Sans MT" w:cstheme="minorHAnsi"/>
          <w:sz w:val="24"/>
          <w:szCs w:val="24"/>
        </w:rPr>
        <w:t>leadership</w:t>
      </w:r>
      <w:r w:rsidR="00A9098C" w:rsidRPr="00AA7AA3">
        <w:rPr>
          <w:rFonts w:ascii="Gill Sans MT" w:hAnsi="Gill Sans MT" w:cstheme="minorHAnsi"/>
          <w:sz w:val="24"/>
          <w:szCs w:val="24"/>
        </w:rPr>
        <w:t>”</w:t>
      </w:r>
      <w:r w:rsidRPr="00AA7AA3">
        <w:rPr>
          <w:rFonts w:ascii="Gill Sans MT" w:hAnsi="Gill Sans MT" w:cstheme="minorHAnsi"/>
          <w:sz w:val="24"/>
          <w:szCs w:val="24"/>
        </w:rPr>
        <w:t xml:space="preserve">? </w:t>
      </w:r>
      <w:r w:rsidR="007B0720" w:rsidRPr="00AA7AA3">
        <w:rPr>
          <w:rFonts w:ascii="Gill Sans MT" w:hAnsi="Gill Sans MT" w:cstheme="minorHAnsi"/>
          <w:sz w:val="24"/>
          <w:szCs w:val="24"/>
        </w:rPr>
        <w:t>The Independent Reviewers have noted “</w:t>
      </w:r>
      <w:r w:rsidR="007B0720" w:rsidRPr="00AA7AA3">
        <w:rPr>
          <w:rFonts w:ascii="Gill Sans MT" w:hAnsi="Gill Sans MT" w:cstheme="minorHAnsi"/>
          <w:i/>
          <w:sz w:val="24"/>
          <w:szCs w:val="24"/>
        </w:rPr>
        <w:t>The tone is set at the top…strong and sustained leadership on improving performance monitoring, reporting and evaluation regimes is needed to improve performance reporting in entities</w:t>
      </w:r>
      <w:r w:rsidR="007B0720" w:rsidRPr="00AA7AA3">
        <w:rPr>
          <w:rFonts w:ascii="Gill Sans MT" w:hAnsi="Gill Sans MT" w:cstheme="minorHAnsi"/>
          <w:sz w:val="24"/>
          <w:szCs w:val="24"/>
        </w:rPr>
        <w:t>.</w:t>
      </w:r>
      <w:r w:rsidR="007B0720" w:rsidRPr="00AA7AA3">
        <w:rPr>
          <w:rFonts w:ascii="Gill Sans MT" w:hAnsi="Gill Sans MT" w:cstheme="minorHAnsi"/>
          <w:sz w:val="24"/>
          <w:szCs w:val="24"/>
          <w:vertAlign w:val="superscript"/>
        </w:rPr>
        <w:footnoteReference w:id="12"/>
      </w:r>
      <w:r w:rsidR="00F43BEB">
        <w:rPr>
          <w:rFonts w:ascii="Gill Sans MT" w:hAnsi="Gill Sans MT" w:cstheme="minorHAnsi"/>
          <w:sz w:val="24"/>
          <w:szCs w:val="24"/>
        </w:rPr>
        <w:t>”</w:t>
      </w:r>
    </w:p>
    <w:p w14:paraId="78CA42C1" w14:textId="09D94C51" w:rsidR="007B0720" w:rsidRPr="00AA7AA3" w:rsidRDefault="007B0720" w:rsidP="00214658">
      <w:pPr>
        <w:rPr>
          <w:rFonts w:ascii="Gill Sans MT" w:hAnsi="Gill Sans MT" w:cstheme="minorHAnsi"/>
          <w:sz w:val="24"/>
          <w:szCs w:val="24"/>
        </w:rPr>
      </w:pPr>
      <w:r w:rsidRPr="00AA7AA3">
        <w:rPr>
          <w:rFonts w:ascii="Gill Sans MT" w:hAnsi="Gill Sans MT" w:cstheme="minorHAnsi"/>
          <w:sz w:val="24"/>
          <w:szCs w:val="24"/>
        </w:rPr>
        <w:lastRenderedPageBreak/>
        <w:t>The AES supports its 3</w:t>
      </w:r>
      <w:r w:rsidRPr="00AA7AA3">
        <w:rPr>
          <w:rFonts w:ascii="Gill Sans MT" w:hAnsi="Gill Sans MT" w:cstheme="minorHAnsi"/>
          <w:sz w:val="24"/>
          <w:szCs w:val="24"/>
          <w:vertAlign w:val="superscript"/>
        </w:rPr>
        <w:t>rd</w:t>
      </w:r>
      <w:r w:rsidRPr="00AA7AA3">
        <w:rPr>
          <w:rFonts w:ascii="Gill Sans MT" w:hAnsi="Gill Sans MT" w:cstheme="minorHAnsi"/>
          <w:sz w:val="24"/>
          <w:szCs w:val="24"/>
        </w:rPr>
        <w:t xml:space="preserve"> recommendation that “</w:t>
      </w:r>
      <w:r w:rsidRPr="00AA7AA3">
        <w:rPr>
          <w:rFonts w:ascii="Gill Sans MT" w:hAnsi="Gill Sans MT" w:cstheme="minorHAnsi"/>
          <w:i/>
          <w:sz w:val="24"/>
          <w:szCs w:val="24"/>
        </w:rPr>
        <w:t>The Secretaries Board should take initiatives to improve the quality of performance reporting, including through the greater use of evaluation, focussing on strategies to improve the way entities measure the impact of government programs</w:t>
      </w:r>
      <w:r w:rsidRPr="00AA7AA3">
        <w:rPr>
          <w:rFonts w:ascii="Gill Sans MT" w:hAnsi="Gill Sans MT" w:cstheme="minorHAnsi"/>
          <w:sz w:val="24"/>
          <w:szCs w:val="24"/>
        </w:rPr>
        <w:t>.”</w:t>
      </w:r>
    </w:p>
    <w:p w14:paraId="330D6DF5" w14:textId="331D4C96" w:rsidR="00D37050" w:rsidRPr="00AA7AA3" w:rsidRDefault="00E57DC7" w:rsidP="00214658">
      <w:pPr>
        <w:keepNext/>
        <w:rPr>
          <w:rFonts w:ascii="Gill Sans MT" w:hAnsi="Gill Sans MT" w:cstheme="minorHAnsi"/>
          <w:i/>
          <w:sz w:val="24"/>
          <w:szCs w:val="24"/>
          <w:u w:val="single"/>
        </w:rPr>
      </w:pPr>
      <w:r w:rsidRPr="00AA7AA3">
        <w:rPr>
          <w:rFonts w:ascii="Gill Sans MT" w:hAnsi="Gill Sans MT" w:cstheme="minorHAnsi"/>
          <w:i/>
          <w:sz w:val="24"/>
          <w:szCs w:val="24"/>
          <w:u w:val="single"/>
        </w:rPr>
        <w:t>Evaluation findings being incorporated into Performance Measurement and Reporting</w:t>
      </w:r>
    </w:p>
    <w:p w14:paraId="28B1810C" w14:textId="5D95FFF6" w:rsidR="007C7F56" w:rsidRPr="00AA7AA3" w:rsidRDefault="00E57DC7" w:rsidP="00214658">
      <w:pPr>
        <w:keepNext/>
        <w:rPr>
          <w:rFonts w:ascii="Gill Sans MT" w:hAnsi="Gill Sans MT" w:cstheme="minorHAnsi"/>
          <w:sz w:val="24"/>
          <w:szCs w:val="24"/>
        </w:rPr>
      </w:pPr>
      <w:r w:rsidRPr="00AA7AA3">
        <w:rPr>
          <w:rFonts w:ascii="Gill Sans MT" w:hAnsi="Gill Sans MT" w:cstheme="minorHAnsi"/>
          <w:sz w:val="24"/>
          <w:szCs w:val="24"/>
        </w:rPr>
        <w:t xml:space="preserve">At the 2017 AES International Evaluation Conference, the Department of Finance </w:t>
      </w:r>
      <w:r w:rsidR="00AE054D" w:rsidRPr="00AA7AA3">
        <w:rPr>
          <w:rFonts w:ascii="Gill Sans MT" w:hAnsi="Gill Sans MT" w:cstheme="minorHAnsi"/>
          <w:sz w:val="24"/>
          <w:szCs w:val="24"/>
        </w:rPr>
        <w:t>noted</w:t>
      </w:r>
      <w:r w:rsidRPr="00AA7AA3">
        <w:rPr>
          <w:rFonts w:ascii="Gill Sans MT" w:hAnsi="Gill Sans MT" w:cstheme="minorHAnsi"/>
          <w:sz w:val="24"/>
          <w:szCs w:val="24"/>
        </w:rPr>
        <w:t xml:space="preserve"> that evaluation</w:t>
      </w:r>
      <w:r w:rsidR="00AE054D" w:rsidRPr="00AA7AA3">
        <w:rPr>
          <w:rFonts w:ascii="Gill Sans MT" w:hAnsi="Gill Sans MT" w:cstheme="minorHAnsi"/>
          <w:sz w:val="24"/>
          <w:szCs w:val="24"/>
        </w:rPr>
        <w:t>s and their</w:t>
      </w:r>
      <w:r w:rsidR="00F324E0" w:rsidRPr="00AA7AA3">
        <w:rPr>
          <w:rFonts w:ascii="Gill Sans MT" w:hAnsi="Gill Sans MT" w:cstheme="minorHAnsi"/>
          <w:sz w:val="24"/>
          <w:szCs w:val="24"/>
        </w:rPr>
        <w:t xml:space="preserve"> findings </w:t>
      </w:r>
      <w:r w:rsidRPr="00AA7AA3">
        <w:rPr>
          <w:rFonts w:ascii="Gill Sans MT" w:hAnsi="Gill Sans MT" w:cstheme="minorHAnsi"/>
          <w:sz w:val="24"/>
          <w:szCs w:val="24"/>
        </w:rPr>
        <w:t xml:space="preserve">were not </w:t>
      </w:r>
      <w:r w:rsidR="003C46D3" w:rsidRPr="00AA7AA3">
        <w:rPr>
          <w:rFonts w:ascii="Gill Sans MT" w:hAnsi="Gill Sans MT" w:cstheme="minorHAnsi"/>
          <w:sz w:val="24"/>
          <w:szCs w:val="24"/>
        </w:rPr>
        <w:t xml:space="preserve">yet </w:t>
      </w:r>
      <w:r w:rsidRPr="00AA7AA3">
        <w:rPr>
          <w:rFonts w:ascii="Gill Sans MT" w:hAnsi="Gill Sans MT" w:cstheme="minorHAnsi"/>
          <w:sz w:val="24"/>
          <w:szCs w:val="24"/>
        </w:rPr>
        <w:t xml:space="preserve">being </w:t>
      </w:r>
      <w:r w:rsidR="00AE054D" w:rsidRPr="00AA7AA3">
        <w:rPr>
          <w:rFonts w:ascii="Gill Sans MT" w:hAnsi="Gill Sans MT" w:cstheme="minorHAnsi"/>
          <w:sz w:val="24"/>
          <w:szCs w:val="24"/>
        </w:rPr>
        <w:t xml:space="preserve">sufficiently </w:t>
      </w:r>
      <w:r w:rsidRPr="00AA7AA3">
        <w:rPr>
          <w:rFonts w:ascii="Gill Sans MT" w:hAnsi="Gill Sans MT" w:cstheme="minorHAnsi"/>
          <w:sz w:val="24"/>
          <w:szCs w:val="24"/>
        </w:rPr>
        <w:t xml:space="preserve">presented in </w:t>
      </w:r>
      <w:r w:rsidR="00AE054D" w:rsidRPr="00AA7AA3">
        <w:rPr>
          <w:rFonts w:ascii="Gill Sans MT" w:hAnsi="Gill Sans MT" w:cstheme="minorHAnsi"/>
          <w:sz w:val="24"/>
          <w:szCs w:val="24"/>
        </w:rPr>
        <w:t>C</w:t>
      </w:r>
      <w:r w:rsidRPr="00AA7AA3">
        <w:rPr>
          <w:rFonts w:ascii="Gill Sans MT" w:hAnsi="Gill Sans MT" w:cstheme="minorHAnsi"/>
          <w:sz w:val="24"/>
          <w:szCs w:val="24"/>
        </w:rPr>
        <w:t xml:space="preserve">orporate </w:t>
      </w:r>
      <w:r w:rsidR="00AE054D" w:rsidRPr="00AA7AA3">
        <w:rPr>
          <w:rFonts w:ascii="Gill Sans MT" w:hAnsi="Gill Sans MT" w:cstheme="minorHAnsi"/>
          <w:sz w:val="24"/>
          <w:szCs w:val="24"/>
        </w:rPr>
        <w:t>P</w:t>
      </w:r>
      <w:r w:rsidRPr="00AA7AA3">
        <w:rPr>
          <w:rFonts w:ascii="Gill Sans MT" w:hAnsi="Gill Sans MT" w:cstheme="minorHAnsi"/>
          <w:sz w:val="24"/>
          <w:szCs w:val="24"/>
        </w:rPr>
        <w:t xml:space="preserve">lans or </w:t>
      </w:r>
      <w:r w:rsidR="00AE054D" w:rsidRPr="00AA7AA3">
        <w:rPr>
          <w:rFonts w:ascii="Gill Sans MT" w:hAnsi="Gill Sans MT" w:cstheme="minorHAnsi"/>
          <w:sz w:val="24"/>
          <w:szCs w:val="24"/>
        </w:rPr>
        <w:t>Annual P</w:t>
      </w:r>
      <w:r w:rsidRPr="00AA7AA3">
        <w:rPr>
          <w:rFonts w:ascii="Gill Sans MT" w:hAnsi="Gill Sans MT" w:cstheme="minorHAnsi"/>
          <w:sz w:val="24"/>
          <w:szCs w:val="24"/>
        </w:rPr>
        <w:t xml:space="preserve">erformance </w:t>
      </w:r>
      <w:r w:rsidR="00AE054D" w:rsidRPr="00AA7AA3">
        <w:rPr>
          <w:rFonts w:ascii="Gill Sans MT" w:hAnsi="Gill Sans MT" w:cstheme="minorHAnsi"/>
          <w:sz w:val="24"/>
          <w:szCs w:val="24"/>
        </w:rPr>
        <w:t>S</w:t>
      </w:r>
      <w:r w:rsidRPr="00AA7AA3">
        <w:rPr>
          <w:rFonts w:ascii="Gill Sans MT" w:hAnsi="Gill Sans MT" w:cstheme="minorHAnsi"/>
          <w:sz w:val="24"/>
          <w:szCs w:val="24"/>
        </w:rPr>
        <w:t>tatements, and asked the evaluation community how</w:t>
      </w:r>
      <w:r w:rsidR="00F324E0" w:rsidRPr="00AA7AA3">
        <w:rPr>
          <w:rFonts w:ascii="Gill Sans MT" w:hAnsi="Gill Sans MT" w:cstheme="minorHAnsi"/>
          <w:sz w:val="24"/>
          <w:szCs w:val="24"/>
        </w:rPr>
        <w:t xml:space="preserve"> this </w:t>
      </w:r>
      <w:r w:rsidRPr="00AA7AA3">
        <w:rPr>
          <w:rFonts w:ascii="Gill Sans MT" w:hAnsi="Gill Sans MT" w:cstheme="minorHAnsi"/>
          <w:sz w:val="24"/>
          <w:szCs w:val="24"/>
        </w:rPr>
        <w:t xml:space="preserve">could </w:t>
      </w:r>
      <w:r w:rsidR="005B2A40" w:rsidRPr="00AA7AA3">
        <w:rPr>
          <w:rFonts w:ascii="Gill Sans MT" w:hAnsi="Gill Sans MT" w:cstheme="minorHAnsi"/>
          <w:sz w:val="24"/>
          <w:szCs w:val="24"/>
        </w:rPr>
        <w:t xml:space="preserve">be </w:t>
      </w:r>
      <w:r w:rsidRPr="00AA7AA3">
        <w:rPr>
          <w:rFonts w:ascii="Gill Sans MT" w:hAnsi="Gill Sans MT" w:cstheme="minorHAnsi"/>
          <w:sz w:val="24"/>
          <w:szCs w:val="24"/>
        </w:rPr>
        <w:t>address</w:t>
      </w:r>
      <w:r w:rsidR="005B2A40" w:rsidRPr="00AA7AA3">
        <w:rPr>
          <w:rFonts w:ascii="Gill Sans MT" w:hAnsi="Gill Sans MT" w:cstheme="minorHAnsi"/>
          <w:sz w:val="24"/>
          <w:szCs w:val="24"/>
        </w:rPr>
        <w:t>ed.</w:t>
      </w:r>
      <w:r w:rsidR="00F324E0" w:rsidRPr="00AA7AA3">
        <w:rPr>
          <w:rFonts w:ascii="Gill Sans MT" w:hAnsi="Gill Sans MT" w:cstheme="minorHAnsi"/>
          <w:sz w:val="24"/>
          <w:szCs w:val="24"/>
        </w:rPr>
        <w:t xml:space="preserve"> </w:t>
      </w:r>
      <w:r w:rsidR="00AE054D" w:rsidRPr="00AA7AA3">
        <w:rPr>
          <w:rFonts w:ascii="Gill Sans MT" w:hAnsi="Gill Sans MT" w:cstheme="minorHAnsi"/>
          <w:sz w:val="24"/>
          <w:szCs w:val="24"/>
        </w:rPr>
        <w:t xml:space="preserve"> </w:t>
      </w:r>
      <w:r w:rsidRPr="00AA7AA3">
        <w:rPr>
          <w:rFonts w:ascii="Gill Sans MT" w:hAnsi="Gill Sans MT" w:cstheme="minorHAnsi"/>
          <w:sz w:val="24"/>
          <w:szCs w:val="24"/>
        </w:rPr>
        <w:t xml:space="preserve">This </w:t>
      </w:r>
      <w:r w:rsidR="00AE054D" w:rsidRPr="00AA7AA3">
        <w:rPr>
          <w:rFonts w:ascii="Gill Sans MT" w:hAnsi="Gill Sans MT" w:cstheme="minorHAnsi"/>
          <w:sz w:val="24"/>
          <w:szCs w:val="24"/>
        </w:rPr>
        <w:t>is also the perspective of</w:t>
      </w:r>
      <w:r w:rsidRPr="00AA7AA3">
        <w:rPr>
          <w:rFonts w:ascii="Gill Sans MT" w:hAnsi="Gill Sans MT" w:cstheme="minorHAnsi"/>
          <w:sz w:val="24"/>
          <w:szCs w:val="24"/>
        </w:rPr>
        <w:t xml:space="preserve"> a number of AES members.</w:t>
      </w:r>
      <w:r w:rsidR="00C47097" w:rsidRPr="00AA7AA3">
        <w:rPr>
          <w:rFonts w:ascii="Gill Sans MT" w:hAnsi="Gill Sans MT" w:cstheme="minorHAnsi"/>
          <w:sz w:val="24"/>
          <w:szCs w:val="24"/>
        </w:rPr>
        <w:t xml:space="preserve"> </w:t>
      </w:r>
      <w:r w:rsidR="007C7F56" w:rsidRPr="00AA7AA3">
        <w:rPr>
          <w:rFonts w:ascii="Gill Sans MT" w:hAnsi="Gill Sans MT" w:cstheme="minorHAnsi"/>
          <w:sz w:val="24"/>
          <w:szCs w:val="24"/>
        </w:rPr>
        <w:t xml:space="preserve">Some dynamics </w:t>
      </w:r>
      <w:r w:rsidR="003C46D3" w:rsidRPr="00AA7AA3">
        <w:rPr>
          <w:rFonts w:ascii="Gill Sans MT" w:hAnsi="Gill Sans MT" w:cstheme="minorHAnsi"/>
          <w:sz w:val="24"/>
          <w:szCs w:val="24"/>
        </w:rPr>
        <w:t xml:space="preserve">contributing to </w:t>
      </w:r>
      <w:r w:rsidR="00AE054D" w:rsidRPr="00AA7AA3">
        <w:rPr>
          <w:rFonts w:ascii="Gill Sans MT" w:hAnsi="Gill Sans MT" w:cstheme="minorHAnsi"/>
          <w:sz w:val="24"/>
          <w:szCs w:val="24"/>
        </w:rPr>
        <w:t>this</w:t>
      </w:r>
      <w:r w:rsidR="007C7F56" w:rsidRPr="00AA7AA3">
        <w:rPr>
          <w:rFonts w:ascii="Gill Sans MT" w:hAnsi="Gill Sans MT" w:cstheme="minorHAnsi"/>
          <w:sz w:val="24"/>
          <w:szCs w:val="24"/>
        </w:rPr>
        <w:t xml:space="preserve"> have been outlined above. Others include</w:t>
      </w:r>
      <w:r w:rsidR="00F324E0" w:rsidRPr="00AA7AA3">
        <w:rPr>
          <w:rFonts w:ascii="Gill Sans MT" w:hAnsi="Gill Sans MT" w:cstheme="minorHAnsi"/>
          <w:sz w:val="24"/>
          <w:szCs w:val="24"/>
        </w:rPr>
        <w:t>:</w:t>
      </w:r>
    </w:p>
    <w:p w14:paraId="58FFA9C6" w14:textId="4CA01B46" w:rsidR="00201796" w:rsidRPr="00AA7AA3" w:rsidRDefault="00AB7C7F" w:rsidP="00214658">
      <w:pPr>
        <w:pStyle w:val="ListParagraph"/>
        <w:numPr>
          <w:ilvl w:val="0"/>
          <w:numId w:val="5"/>
        </w:numPr>
        <w:spacing w:after="120"/>
        <w:ind w:left="714" w:hanging="357"/>
        <w:contextualSpacing w:val="0"/>
        <w:rPr>
          <w:rFonts w:ascii="Gill Sans MT" w:hAnsi="Gill Sans MT" w:cstheme="minorHAnsi"/>
          <w:sz w:val="24"/>
          <w:szCs w:val="24"/>
        </w:rPr>
      </w:pPr>
      <w:r w:rsidRPr="00AA7AA3">
        <w:rPr>
          <w:rFonts w:ascii="Gill Sans MT" w:eastAsia="Times New Roman" w:hAnsi="Gill Sans MT" w:cstheme="minorHAnsi"/>
          <w:sz w:val="24"/>
          <w:szCs w:val="24"/>
        </w:rPr>
        <w:t>limited</w:t>
      </w:r>
      <w:r w:rsidR="000725DF" w:rsidRPr="00AA7AA3">
        <w:rPr>
          <w:rFonts w:ascii="Gill Sans MT" w:eastAsia="Times New Roman" w:hAnsi="Gill Sans MT" w:cstheme="minorHAnsi"/>
          <w:sz w:val="24"/>
          <w:szCs w:val="24"/>
        </w:rPr>
        <w:t xml:space="preserve"> understanding </w:t>
      </w:r>
      <w:r w:rsidRPr="00AA7AA3">
        <w:rPr>
          <w:rFonts w:ascii="Gill Sans MT" w:eastAsia="Times New Roman" w:hAnsi="Gill Sans MT" w:cstheme="minorHAnsi"/>
          <w:sz w:val="24"/>
          <w:szCs w:val="24"/>
        </w:rPr>
        <w:t xml:space="preserve">that </w:t>
      </w:r>
      <w:r w:rsidR="007C7F56" w:rsidRPr="00AA7AA3">
        <w:rPr>
          <w:rFonts w:ascii="Gill Sans MT" w:eastAsia="Times New Roman" w:hAnsi="Gill Sans MT" w:cstheme="minorHAnsi"/>
          <w:sz w:val="24"/>
          <w:szCs w:val="24"/>
        </w:rPr>
        <w:t>valid performance information</w:t>
      </w:r>
      <w:r w:rsidR="000725DF" w:rsidRPr="00AA7AA3">
        <w:rPr>
          <w:rFonts w:ascii="Gill Sans MT" w:eastAsia="Times New Roman" w:hAnsi="Gill Sans MT" w:cstheme="minorHAnsi"/>
          <w:sz w:val="24"/>
          <w:szCs w:val="24"/>
        </w:rPr>
        <w:t xml:space="preserve"> </w:t>
      </w:r>
      <w:r w:rsidR="007C7F56" w:rsidRPr="00AA7AA3">
        <w:rPr>
          <w:rFonts w:ascii="Gill Sans MT" w:eastAsia="Times New Roman" w:hAnsi="Gill Sans MT" w:cstheme="minorHAnsi"/>
          <w:sz w:val="24"/>
          <w:szCs w:val="24"/>
        </w:rPr>
        <w:t>comprise</w:t>
      </w:r>
      <w:r w:rsidRPr="00AA7AA3">
        <w:rPr>
          <w:rFonts w:ascii="Gill Sans MT" w:eastAsia="Times New Roman" w:hAnsi="Gill Sans MT" w:cstheme="minorHAnsi"/>
          <w:sz w:val="24"/>
          <w:szCs w:val="24"/>
        </w:rPr>
        <w:t>s</w:t>
      </w:r>
      <w:r w:rsidR="007C7F56" w:rsidRPr="00AA7AA3">
        <w:rPr>
          <w:rFonts w:ascii="Gill Sans MT" w:eastAsia="Times New Roman" w:hAnsi="Gill Sans MT" w:cstheme="minorHAnsi"/>
          <w:sz w:val="24"/>
          <w:szCs w:val="24"/>
        </w:rPr>
        <w:t xml:space="preserve"> both quantitative and qualitative indicators. While the PGPA Act and ECPF have </w:t>
      </w:r>
      <w:r w:rsidR="00267594" w:rsidRPr="00AA7AA3">
        <w:rPr>
          <w:rFonts w:ascii="Gill Sans MT" w:eastAsia="Times New Roman" w:hAnsi="Gill Sans MT" w:cstheme="minorHAnsi"/>
          <w:sz w:val="24"/>
          <w:szCs w:val="24"/>
        </w:rPr>
        <w:t>promoted</w:t>
      </w:r>
      <w:r w:rsidR="007C7F56" w:rsidRPr="00AA7AA3">
        <w:rPr>
          <w:rFonts w:ascii="Gill Sans MT" w:eastAsia="Times New Roman" w:hAnsi="Gill Sans MT" w:cstheme="minorHAnsi"/>
          <w:sz w:val="24"/>
          <w:szCs w:val="24"/>
        </w:rPr>
        <w:t xml:space="preserve"> a renewed interest and focus on outcomes</w:t>
      </w:r>
      <w:r w:rsidRPr="00AA7AA3">
        <w:rPr>
          <w:rFonts w:ascii="Gill Sans MT" w:eastAsia="Times New Roman" w:hAnsi="Gill Sans MT" w:cstheme="minorHAnsi"/>
          <w:sz w:val="24"/>
          <w:szCs w:val="24"/>
        </w:rPr>
        <w:t xml:space="preserve"> in a number of entities</w:t>
      </w:r>
      <w:r w:rsidR="007C7F56" w:rsidRPr="00AA7AA3">
        <w:rPr>
          <w:rFonts w:ascii="Gill Sans MT" w:eastAsia="Times New Roman" w:hAnsi="Gill Sans MT" w:cstheme="minorHAnsi"/>
          <w:sz w:val="24"/>
          <w:szCs w:val="24"/>
        </w:rPr>
        <w:t xml:space="preserve">, </w:t>
      </w:r>
      <w:r w:rsidR="008E03C0" w:rsidRPr="00AA7AA3">
        <w:rPr>
          <w:rFonts w:ascii="Gill Sans MT" w:eastAsia="Times New Roman" w:hAnsi="Gill Sans MT" w:cstheme="minorHAnsi"/>
          <w:sz w:val="24"/>
          <w:szCs w:val="24"/>
        </w:rPr>
        <w:t xml:space="preserve">often </w:t>
      </w:r>
      <w:r w:rsidR="007C7F56" w:rsidRPr="00AA7AA3">
        <w:rPr>
          <w:rFonts w:ascii="Gill Sans MT" w:eastAsia="Times New Roman" w:hAnsi="Gill Sans MT" w:cstheme="minorHAnsi"/>
          <w:sz w:val="24"/>
          <w:szCs w:val="24"/>
        </w:rPr>
        <w:t xml:space="preserve">first instincts are to </w:t>
      </w:r>
      <w:r w:rsidRPr="00AA7AA3">
        <w:rPr>
          <w:rFonts w:ascii="Gill Sans MT" w:eastAsia="Times New Roman" w:hAnsi="Gill Sans MT" w:cstheme="minorHAnsi"/>
          <w:sz w:val="24"/>
          <w:szCs w:val="24"/>
        </w:rPr>
        <w:t xml:space="preserve">measure these </w:t>
      </w:r>
      <w:r w:rsidR="007C7F56" w:rsidRPr="00AA7AA3">
        <w:rPr>
          <w:rFonts w:ascii="Gill Sans MT" w:eastAsia="Times New Roman" w:hAnsi="Gill Sans MT" w:cstheme="minorHAnsi"/>
          <w:sz w:val="24"/>
          <w:szCs w:val="24"/>
        </w:rPr>
        <w:t xml:space="preserve">quantitatively. </w:t>
      </w:r>
      <w:r w:rsidR="00267594" w:rsidRPr="00AA7AA3">
        <w:rPr>
          <w:rFonts w:ascii="Gill Sans MT" w:eastAsia="Times New Roman" w:hAnsi="Gill Sans MT" w:cstheme="minorHAnsi"/>
          <w:sz w:val="24"/>
          <w:szCs w:val="24"/>
        </w:rPr>
        <w:t>E</w:t>
      </w:r>
      <w:r w:rsidR="007C7F56" w:rsidRPr="00AA7AA3">
        <w:rPr>
          <w:rFonts w:ascii="Gill Sans MT" w:eastAsia="Times New Roman" w:hAnsi="Gill Sans MT" w:cstheme="minorHAnsi"/>
          <w:sz w:val="24"/>
          <w:szCs w:val="24"/>
        </w:rPr>
        <w:t xml:space="preserve">ven when </w:t>
      </w:r>
      <w:r w:rsidR="00267594" w:rsidRPr="00AA7AA3">
        <w:rPr>
          <w:rFonts w:ascii="Gill Sans MT" w:eastAsia="Times New Roman" w:hAnsi="Gill Sans MT" w:cstheme="minorHAnsi"/>
          <w:sz w:val="24"/>
          <w:szCs w:val="24"/>
        </w:rPr>
        <w:t xml:space="preserve">both are being </w:t>
      </w:r>
      <w:r w:rsidR="007C7F56" w:rsidRPr="00AA7AA3">
        <w:rPr>
          <w:rFonts w:ascii="Gill Sans MT" w:eastAsia="Times New Roman" w:hAnsi="Gill Sans MT" w:cstheme="minorHAnsi"/>
          <w:sz w:val="24"/>
          <w:szCs w:val="24"/>
        </w:rPr>
        <w:t xml:space="preserve">considered, </w:t>
      </w:r>
      <w:r w:rsidR="00267594" w:rsidRPr="00AA7AA3">
        <w:rPr>
          <w:rFonts w:ascii="Gill Sans MT" w:eastAsia="Times New Roman" w:hAnsi="Gill Sans MT" w:cstheme="minorHAnsi"/>
          <w:sz w:val="24"/>
          <w:szCs w:val="24"/>
        </w:rPr>
        <w:t xml:space="preserve">they are often seen to be distinct streams, and there is a </w:t>
      </w:r>
      <w:r w:rsidR="007C7F56" w:rsidRPr="00AA7AA3">
        <w:rPr>
          <w:rFonts w:ascii="Gill Sans MT" w:eastAsia="Times New Roman" w:hAnsi="Gill Sans MT" w:cstheme="minorHAnsi"/>
          <w:sz w:val="24"/>
          <w:szCs w:val="24"/>
        </w:rPr>
        <w:t xml:space="preserve">need to move towards </w:t>
      </w:r>
      <w:r w:rsidR="00267594" w:rsidRPr="00AA7AA3">
        <w:rPr>
          <w:rFonts w:ascii="Gill Sans MT" w:eastAsia="Times New Roman" w:hAnsi="Gill Sans MT" w:cstheme="minorHAnsi"/>
          <w:sz w:val="24"/>
          <w:szCs w:val="24"/>
        </w:rPr>
        <w:t xml:space="preserve">adoption of </w:t>
      </w:r>
      <w:r w:rsidR="007C7F56" w:rsidRPr="00AA7AA3">
        <w:rPr>
          <w:rFonts w:ascii="Gill Sans MT" w:eastAsia="Times New Roman" w:hAnsi="Gill Sans MT" w:cstheme="minorHAnsi"/>
          <w:sz w:val="24"/>
          <w:szCs w:val="24"/>
        </w:rPr>
        <w:t>a more ‘mixed-methods’ approach</w:t>
      </w:r>
      <w:r w:rsidR="00267594" w:rsidRPr="00AA7AA3">
        <w:rPr>
          <w:rFonts w:ascii="Gill Sans MT" w:eastAsia="Times New Roman" w:hAnsi="Gill Sans MT" w:cstheme="minorHAnsi"/>
          <w:sz w:val="24"/>
          <w:szCs w:val="24"/>
        </w:rPr>
        <w:t xml:space="preserve"> where they are utilised in a combined manner.</w:t>
      </w:r>
    </w:p>
    <w:p w14:paraId="6320E932" w14:textId="033326BD" w:rsidR="00201796" w:rsidRPr="00AA7AA3" w:rsidRDefault="00080173" w:rsidP="00214658">
      <w:pPr>
        <w:pStyle w:val="ListParagraph"/>
        <w:numPr>
          <w:ilvl w:val="0"/>
          <w:numId w:val="5"/>
        </w:numPr>
        <w:rPr>
          <w:rFonts w:ascii="Gill Sans MT" w:hAnsi="Gill Sans MT" w:cstheme="minorHAnsi"/>
          <w:sz w:val="24"/>
          <w:szCs w:val="24"/>
        </w:rPr>
      </w:pPr>
      <w:r w:rsidRPr="00AA7AA3">
        <w:rPr>
          <w:rFonts w:ascii="Gill Sans MT" w:hAnsi="Gill Sans MT" w:cstheme="minorHAnsi"/>
          <w:sz w:val="24"/>
          <w:szCs w:val="24"/>
        </w:rPr>
        <w:t>t</w:t>
      </w:r>
      <w:r w:rsidR="007C7F56" w:rsidRPr="00AA7AA3">
        <w:rPr>
          <w:rFonts w:ascii="Gill Sans MT" w:hAnsi="Gill Sans MT" w:cstheme="minorHAnsi"/>
          <w:sz w:val="24"/>
          <w:szCs w:val="24"/>
        </w:rPr>
        <w:t xml:space="preserve">he </w:t>
      </w:r>
      <w:r w:rsidR="00267594" w:rsidRPr="00AA7AA3">
        <w:rPr>
          <w:rFonts w:ascii="Gill Sans MT" w:hAnsi="Gill Sans MT" w:cstheme="minorHAnsi"/>
          <w:sz w:val="24"/>
          <w:szCs w:val="24"/>
        </w:rPr>
        <w:t>changes sought via the PGPA and ECPF</w:t>
      </w:r>
      <w:r w:rsidR="004631A6">
        <w:rPr>
          <w:rFonts w:ascii="Gill Sans MT" w:hAnsi="Gill Sans MT" w:cstheme="minorHAnsi"/>
          <w:sz w:val="24"/>
          <w:szCs w:val="24"/>
        </w:rPr>
        <w:t xml:space="preserve"> Acts</w:t>
      </w:r>
      <w:r w:rsidR="00267594" w:rsidRPr="00AA7AA3">
        <w:rPr>
          <w:rFonts w:ascii="Gill Sans MT" w:hAnsi="Gill Sans MT" w:cstheme="minorHAnsi"/>
          <w:sz w:val="24"/>
          <w:szCs w:val="24"/>
        </w:rPr>
        <w:t xml:space="preserve"> are not insignificant, and it may be that even where Departments are moving positively towards these objectives, the time required to do so may be longer than first anticipated.</w:t>
      </w:r>
    </w:p>
    <w:p w14:paraId="5409407A" w14:textId="7E6723B5" w:rsidR="00234D9E" w:rsidRPr="00AA7AA3" w:rsidRDefault="000574C0" w:rsidP="00214658">
      <w:pPr>
        <w:rPr>
          <w:rFonts w:ascii="Gill Sans MT" w:hAnsi="Gill Sans MT" w:cstheme="minorHAnsi"/>
          <w:sz w:val="24"/>
          <w:szCs w:val="24"/>
        </w:rPr>
      </w:pPr>
      <w:r w:rsidRPr="00AA7AA3">
        <w:rPr>
          <w:rFonts w:ascii="Gill Sans MT" w:hAnsi="Gill Sans MT" w:cstheme="minorHAnsi"/>
          <w:sz w:val="24"/>
          <w:szCs w:val="24"/>
        </w:rPr>
        <w:t>A key aim of the PG</w:t>
      </w:r>
      <w:r w:rsidR="00E43A7E">
        <w:rPr>
          <w:rFonts w:ascii="Gill Sans MT" w:hAnsi="Gill Sans MT" w:cstheme="minorHAnsi"/>
          <w:sz w:val="24"/>
          <w:szCs w:val="24"/>
        </w:rPr>
        <w:t>P</w:t>
      </w:r>
      <w:r w:rsidRPr="00AA7AA3">
        <w:rPr>
          <w:rFonts w:ascii="Gill Sans MT" w:hAnsi="Gill Sans MT" w:cstheme="minorHAnsi"/>
          <w:sz w:val="24"/>
          <w:szCs w:val="24"/>
        </w:rPr>
        <w:t xml:space="preserve">A was to strengthen and enhance cross-agency and portfolio reporting on shared purposes and outcomes. In </w:t>
      </w:r>
      <w:r w:rsidR="00BE510B">
        <w:rPr>
          <w:rFonts w:ascii="Gill Sans MT" w:hAnsi="Gill Sans MT" w:cstheme="minorHAnsi"/>
          <w:sz w:val="24"/>
          <w:szCs w:val="24"/>
        </w:rPr>
        <w:t>our</w:t>
      </w:r>
      <w:r w:rsidRPr="00AA7AA3">
        <w:rPr>
          <w:rFonts w:ascii="Gill Sans MT" w:hAnsi="Gill Sans MT" w:cstheme="minorHAnsi"/>
          <w:sz w:val="24"/>
          <w:szCs w:val="24"/>
        </w:rPr>
        <w:t xml:space="preserve"> view this is still </w:t>
      </w:r>
      <w:r w:rsidR="00BE510B">
        <w:rPr>
          <w:rFonts w:ascii="Gill Sans MT" w:hAnsi="Gill Sans MT" w:cstheme="minorHAnsi"/>
          <w:sz w:val="24"/>
          <w:szCs w:val="24"/>
        </w:rPr>
        <w:t xml:space="preserve">a </w:t>
      </w:r>
      <w:r w:rsidRPr="00AA7AA3">
        <w:rPr>
          <w:rFonts w:ascii="Gill Sans MT" w:hAnsi="Gill Sans MT" w:cstheme="minorHAnsi"/>
          <w:sz w:val="24"/>
          <w:szCs w:val="24"/>
        </w:rPr>
        <w:t xml:space="preserve">‘work in progress’ and </w:t>
      </w:r>
      <w:r w:rsidR="00BE510B">
        <w:rPr>
          <w:rFonts w:ascii="Gill Sans MT" w:hAnsi="Gill Sans MT" w:cstheme="minorHAnsi"/>
          <w:sz w:val="24"/>
          <w:szCs w:val="24"/>
        </w:rPr>
        <w:t>will</w:t>
      </w:r>
      <w:r w:rsidRPr="00AA7AA3">
        <w:rPr>
          <w:rFonts w:ascii="Gill Sans MT" w:hAnsi="Gill Sans MT" w:cstheme="minorHAnsi"/>
          <w:sz w:val="24"/>
          <w:szCs w:val="24"/>
        </w:rPr>
        <w:t xml:space="preserve"> benefit from additional mechanisms or models that</w:t>
      </w:r>
      <w:r w:rsidR="001B6726">
        <w:rPr>
          <w:rFonts w:ascii="Gill Sans MT" w:hAnsi="Gill Sans MT" w:cstheme="minorHAnsi"/>
          <w:sz w:val="24"/>
          <w:szCs w:val="24"/>
        </w:rPr>
        <w:t xml:space="preserve"> </w:t>
      </w:r>
      <w:r w:rsidRPr="00AA7AA3">
        <w:rPr>
          <w:rFonts w:ascii="Gill Sans MT" w:hAnsi="Gill Sans MT" w:cstheme="minorHAnsi"/>
          <w:sz w:val="24"/>
          <w:szCs w:val="24"/>
        </w:rPr>
        <w:t>support cross-government partnerships.</w:t>
      </w:r>
    </w:p>
    <w:p w14:paraId="3EC72A9B" w14:textId="77777777" w:rsidR="00543499" w:rsidRPr="00AA7AA3" w:rsidRDefault="00543499" w:rsidP="00214658">
      <w:pPr>
        <w:keepNext/>
        <w:rPr>
          <w:rFonts w:ascii="Gill Sans MT" w:hAnsi="Gill Sans MT" w:cstheme="minorHAnsi"/>
          <w:i/>
          <w:sz w:val="24"/>
          <w:szCs w:val="24"/>
          <w:u w:val="single"/>
        </w:rPr>
      </w:pPr>
      <w:r w:rsidRPr="00AA7AA3">
        <w:rPr>
          <w:rFonts w:ascii="Gill Sans MT" w:hAnsi="Gill Sans MT" w:cstheme="minorHAnsi"/>
          <w:i/>
          <w:sz w:val="24"/>
          <w:szCs w:val="24"/>
          <w:u w:val="single"/>
        </w:rPr>
        <w:t xml:space="preserve">Additional resourcing required to effectively undertake evaluation, performance management and reporting </w:t>
      </w:r>
    </w:p>
    <w:p w14:paraId="79BA5D6A" w14:textId="09B3B3F0" w:rsidR="00543499" w:rsidRPr="00AA7AA3" w:rsidRDefault="00543499" w:rsidP="00214658">
      <w:pPr>
        <w:keepNext/>
        <w:rPr>
          <w:rFonts w:ascii="Gill Sans MT" w:hAnsi="Gill Sans MT" w:cstheme="minorHAnsi"/>
          <w:sz w:val="24"/>
          <w:szCs w:val="24"/>
        </w:rPr>
      </w:pPr>
      <w:r w:rsidRPr="00AA7AA3">
        <w:rPr>
          <w:rFonts w:ascii="Gill Sans MT" w:hAnsi="Gill Sans MT" w:cstheme="minorHAnsi"/>
          <w:sz w:val="24"/>
          <w:szCs w:val="24"/>
        </w:rPr>
        <w:t>Prior to the introduction of the ECPF, it was foreshadowed by a number of stakeholders (both internal and external to Government) that it would have significant implications on entities’ resourcing—particularly in terms of capabilities and capacities.</w:t>
      </w:r>
      <w:r w:rsidRPr="00AA7AA3">
        <w:rPr>
          <w:rStyle w:val="FootnoteReference"/>
          <w:rFonts w:ascii="Gill Sans MT" w:hAnsi="Gill Sans MT" w:cstheme="minorHAnsi"/>
          <w:sz w:val="24"/>
          <w:szCs w:val="24"/>
        </w:rPr>
        <w:footnoteReference w:id="13"/>
      </w:r>
      <w:r w:rsidRPr="00AA7AA3">
        <w:rPr>
          <w:rFonts w:ascii="Gill Sans MT" w:hAnsi="Gill Sans MT" w:cstheme="minorHAnsi"/>
          <w:sz w:val="24"/>
          <w:szCs w:val="24"/>
        </w:rPr>
        <w:t xml:space="preserve"> This was consistent with findings that arose from the Capability Reviews, which suggested that ‘Managing Performance’ was a development area for over half of those assessed in 2012–13, as was ‘Plan, Resource </w:t>
      </w:r>
      <w:r w:rsidR="00A64D89" w:rsidRPr="00AA7AA3">
        <w:rPr>
          <w:rFonts w:ascii="Gill Sans MT" w:hAnsi="Gill Sans MT" w:cstheme="minorHAnsi"/>
          <w:sz w:val="24"/>
          <w:szCs w:val="24"/>
        </w:rPr>
        <w:t>and Prioritise’, ‘Outcome-focus</w:t>
      </w:r>
      <w:r w:rsidRPr="00AA7AA3">
        <w:rPr>
          <w:rFonts w:ascii="Gill Sans MT" w:hAnsi="Gill Sans MT" w:cstheme="minorHAnsi"/>
          <w:sz w:val="24"/>
          <w:szCs w:val="24"/>
        </w:rPr>
        <w:t>ed Strategy’</w:t>
      </w:r>
      <w:r w:rsidR="00C71555">
        <w:rPr>
          <w:rFonts w:ascii="Gill Sans MT" w:hAnsi="Gill Sans MT" w:cstheme="minorHAnsi"/>
          <w:sz w:val="24"/>
          <w:szCs w:val="24"/>
        </w:rPr>
        <w:t>,</w:t>
      </w:r>
      <w:r w:rsidRPr="00AA7AA3">
        <w:rPr>
          <w:rFonts w:ascii="Gill Sans MT" w:hAnsi="Gill Sans MT" w:cstheme="minorHAnsi"/>
          <w:sz w:val="24"/>
          <w:szCs w:val="24"/>
        </w:rPr>
        <w:t xml:space="preserve"> and ‘Develop People’.</w:t>
      </w:r>
      <w:r w:rsidRPr="00AA7AA3">
        <w:rPr>
          <w:rStyle w:val="FootnoteReference"/>
          <w:rFonts w:ascii="Gill Sans MT" w:hAnsi="Gill Sans MT" w:cstheme="minorHAnsi"/>
          <w:sz w:val="24"/>
          <w:szCs w:val="24"/>
        </w:rPr>
        <w:footnoteReference w:id="14"/>
      </w:r>
      <w:r w:rsidR="00181503" w:rsidRPr="00AA7AA3">
        <w:rPr>
          <w:rStyle w:val="FootnoteReference"/>
          <w:rFonts w:ascii="Gill Sans MT" w:hAnsi="Gill Sans MT" w:cstheme="minorHAnsi"/>
          <w:sz w:val="24"/>
          <w:szCs w:val="24"/>
        </w:rPr>
        <w:footnoteReference w:id="15"/>
      </w:r>
    </w:p>
    <w:p w14:paraId="7D9E94EE" w14:textId="29AF1FE0" w:rsidR="00543499" w:rsidRPr="00AA7AA3" w:rsidRDefault="004E1E0C" w:rsidP="00214658">
      <w:pPr>
        <w:rPr>
          <w:rFonts w:ascii="Gill Sans MT" w:hAnsi="Gill Sans MT" w:cstheme="minorHAnsi"/>
          <w:sz w:val="24"/>
          <w:szCs w:val="24"/>
        </w:rPr>
      </w:pPr>
      <w:r>
        <w:rPr>
          <w:rFonts w:ascii="Gill Sans MT" w:hAnsi="Gill Sans MT" w:cstheme="minorHAnsi"/>
          <w:sz w:val="24"/>
          <w:szCs w:val="24"/>
        </w:rPr>
        <w:t>The</w:t>
      </w:r>
      <w:r w:rsidR="00543499" w:rsidRPr="00AA7AA3">
        <w:rPr>
          <w:rFonts w:ascii="Gill Sans MT" w:hAnsi="Gill Sans MT" w:cstheme="minorHAnsi"/>
          <w:sz w:val="24"/>
          <w:szCs w:val="24"/>
        </w:rPr>
        <w:t xml:space="preserve"> AES view has been that Department of Finance is to be commended for the work it has undertaken to support the introduction of the reforms at a time of fiscal challenges and restraints. However</w:t>
      </w:r>
      <w:r>
        <w:rPr>
          <w:rFonts w:ascii="Gill Sans MT" w:hAnsi="Gill Sans MT" w:cstheme="minorHAnsi"/>
          <w:sz w:val="24"/>
          <w:szCs w:val="24"/>
        </w:rPr>
        <w:t>,</w:t>
      </w:r>
      <w:r w:rsidR="00543499" w:rsidRPr="00AA7AA3">
        <w:rPr>
          <w:rFonts w:ascii="Gill Sans MT" w:hAnsi="Gill Sans MT" w:cstheme="minorHAnsi"/>
          <w:sz w:val="24"/>
          <w:szCs w:val="24"/>
        </w:rPr>
        <w:t xml:space="preserve"> indications from AES members and participants at recent AES </w:t>
      </w:r>
      <w:r>
        <w:rPr>
          <w:rFonts w:ascii="Gill Sans MT" w:hAnsi="Gill Sans MT" w:cstheme="minorHAnsi"/>
          <w:sz w:val="24"/>
          <w:szCs w:val="24"/>
        </w:rPr>
        <w:t>c</w:t>
      </w:r>
      <w:r w:rsidR="00543499" w:rsidRPr="00AA7AA3">
        <w:rPr>
          <w:rFonts w:ascii="Gill Sans MT" w:hAnsi="Gill Sans MT" w:cstheme="minorHAnsi"/>
          <w:sz w:val="24"/>
          <w:szCs w:val="24"/>
        </w:rPr>
        <w:t>onferences suggest that a lack of additional resourcing has had the following impacts:</w:t>
      </w:r>
    </w:p>
    <w:p w14:paraId="47C45E2E" w14:textId="77777777" w:rsidR="00543499" w:rsidRPr="00AA7AA3" w:rsidRDefault="00543499" w:rsidP="00214658">
      <w:pPr>
        <w:pStyle w:val="ListParagraph"/>
        <w:keepNext/>
        <w:numPr>
          <w:ilvl w:val="0"/>
          <w:numId w:val="5"/>
        </w:numPr>
        <w:rPr>
          <w:rFonts w:ascii="Gill Sans MT" w:hAnsi="Gill Sans MT" w:cstheme="minorHAnsi"/>
          <w:sz w:val="24"/>
          <w:szCs w:val="24"/>
        </w:rPr>
      </w:pPr>
      <w:r w:rsidRPr="00AA7AA3">
        <w:rPr>
          <w:rFonts w:ascii="Gill Sans MT" w:hAnsi="Gill Sans MT" w:cstheme="minorHAnsi"/>
          <w:sz w:val="24"/>
          <w:szCs w:val="24"/>
        </w:rPr>
        <w:t>Maturity of data collection, management and reporting systems</w:t>
      </w:r>
    </w:p>
    <w:p w14:paraId="535DDDF5" w14:textId="2F5EA888" w:rsidR="00543499" w:rsidRPr="00AA7AA3" w:rsidRDefault="00543499" w:rsidP="001922D5">
      <w:pPr>
        <w:rPr>
          <w:rFonts w:ascii="Gill Sans MT" w:hAnsi="Gill Sans MT" w:cstheme="minorHAnsi"/>
          <w:sz w:val="24"/>
          <w:szCs w:val="24"/>
        </w:rPr>
      </w:pPr>
      <w:r w:rsidRPr="00AA7AA3">
        <w:rPr>
          <w:rFonts w:ascii="Gill Sans MT" w:hAnsi="Gill Sans MT" w:cstheme="minorHAnsi"/>
          <w:sz w:val="24"/>
          <w:szCs w:val="24"/>
        </w:rPr>
        <w:t xml:space="preserve">There have been some positive developments in terms of the availability of administrative data and their management and reporting systems, but it is still common for evaluation </w:t>
      </w:r>
      <w:r w:rsidRPr="00AA7AA3">
        <w:rPr>
          <w:rFonts w:ascii="Gill Sans MT" w:hAnsi="Gill Sans MT" w:cstheme="minorHAnsi"/>
          <w:sz w:val="24"/>
          <w:szCs w:val="24"/>
        </w:rPr>
        <w:lastRenderedPageBreak/>
        <w:t>practitioners (both internal and external) to find that limitations in the capabilities of data and administrative management information systems</w:t>
      </w:r>
      <w:r w:rsidR="001922D5">
        <w:rPr>
          <w:rFonts w:ascii="Gill Sans MT" w:hAnsi="Gill Sans MT" w:cstheme="minorHAnsi"/>
          <w:sz w:val="24"/>
          <w:szCs w:val="24"/>
        </w:rPr>
        <w:t>—</w:t>
      </w:r>
      <w:r w:rsidR="003C55D5" w:rsidRPr="00AA7AA3">
        <w:rPr>
          <w:rFonts w:ascii="Gill Sans MT" w:hAnsi="Gill Sans MT" w:cstheme="minorHAnsi"/>
          <w:sz w:val="24"/>
          <w:szCs w:val="24"/>
        </w:rPr>
        <w:t>including linkages to relevant jurisdictional data</w:t>
      </w:r>
      <w:r w:rsidR="001922D5">
        <w:rPr>
          <w:rFonts w:ascii="Gill Sans MT" w:hAnsi="Gill Sans MT" w:cstheme="minorHAnsi"/>
          <w:sz w:val="24"/>
          <w:szCs w:val="24"/>
        </w:rPr>
        <w:t xml:space="preserve">, </w:t>
      </w:r>
      <w:r w:rsidRPr="00AA7AA3">
        <w:rPr>
          <w:rFonts w:ascii="Gill Sans MT" w:hAnsi="Gill Sans MT" w:cstheme="minorHAnsi"/>
          <w:sz w:val="24"/>
          <w:szCs w:val="24"/>
        </w:rPr>
        <w:t xml:space="preserve">compromises both them and APS staff to support performance management, measurement and evaluative inquiry. </w:t>
      </w:r>
    </w:p>
    <w:p w14:paraId="5318D246" w14:textId="77777777" w:rsidR="00543499" w:rsidRPr="00AA7AA3" w:rsidRDefault="00543499" w:rsidP="00214658">
      <w:pPr>
        <w:pStyle w:val="ListParagraph"/>
        <w:numPr>
          <w:ilvl w:val="0"/>
          <w:numId w:val="5"/>
        </w:numPr>
        <w:rPr>
          <w:rFonts w:ascii="Gill Sans MT" w:hAnsi="Gill Sans MT" w:cstheme="minorHAnsi"/>
          <w:sz w:val="24"/>
          <w:szCs w:val="24"/>
        </w:rPr>
      </w:pPr>
      <w:r w:rsidRPr="00AA7AA3">
        <w:rPr>
          <w:rFonts w:ascii="Gill Sans MT" w:hAnsi="Gill Sans MT" w:cstheme="minorHAnsi"/>
          <w:sz w:val="24"/>
          <w:szCs w:val="24"/>
        </w:rPr>
        <w:t>Lack of staff performance management literacy, evaluation and evidentiary expertise</w:t>
      </w:r>
    </w:p>
    <w:p w14:paraId="6276FB1A" w14:textId="43C2B6FD" w:rsidR="001C6AA5" w:rsidRPr="00AA7AA3" w:rsidRDefault="00543499" w:rsidP="00214658">
      <w:pPr>
        <w:rPr>
          <w:rFonts w:ascii="Gill Sans MT" w:hAnsi="Gill Sans MT" w:cstheme="minorHAnsi"/>
          <w:sz w:val="24"/>
          <w:szCs w:val="24"/>
        </w:rPr>
      </w:pPr>
      <w:r w:rsidRPr="00AA7AA3">
        <w:rPr>
          <w:rFonts w:ascii="Gill Sans MT" w:hAnsi="Gill Sans MT" w:cstheme="minorHAnsi"/>
          <w:sz w:val="24"/>
          <w:szCs w:val="24"/>
        </w:rPr>
        <w:t>As noted earlier, AES members have reported variations in terms of entit</w:t>
      </w:r>
      <w:r w:rsidR="00ED4AB8">
        <w:rPr>
          <w:rFonts w:ascii="Gill Sans MT" w:hAnsi="Gill Sans MT" w:cstheme="minorHAnsi"/>
          <w:sz w:val="24"/>
          <w:szCs w:val="24"/>
        </w:rPr>
        <w:t>y’s</w:t>
      </w:r>
      <w:r w:rsidRPr="00AA7AA3">
        <w:rPr>
          <w:rFonts w:ascii="Gill Sans MT" w:hAnsi="Gill Sans MT" w:cstheme="minorHAnsi"/>
          <w:sz w:val="24"/>
          <w:szCs w:val="24"/>
        </w:rPr>
        <w:t xml:space="preserve"> resourcing, effort and commitment. Some describe the APS’s capability to undertake, commission and utilise evaluation as ‘patchy’, with some entities </w:t>
      </w:r>
      <w:r w:rsidR="002E0955" w:rsidRPr="00AA7AA3">
        <w:rPr>
          <w:rFonts w:ascii="Gill Sans MT" w:hAnsi="Gill Sans MT" w:cstheme="minorHAnsi"/>
          <w:sz w:val="24"/>
          <w:szCs w:val="24"/>
        </w:rPr>
        <w:t>doing it well, but others less so</w:t>
      </w:r>
      <w:r w:rsidRPr="00AA7AA3">
        <w:rPr>
          <w:rFonts w:ascii="Gill Sans MT" w:hAnsi="Gill Sans MT" w:cstheme="minorHAnsi"/>
          <w:sz w:val="24"/>
          <w:szCs w:val="24"/>
        </w:rPr>
        <w:t xml:space="preserve">. </w:t>
      </w:r>
      <w:r w:rsidR="001C6AA5" w:rsidRPr="00AA7AA3">
        <w:rPr>
          <w:rFonts w:ascii="Gill Sans MT" w:hAnsi="Gill Sans MT" w:cstheme="minorHAnsi"/>
          <w:sz w:val="24"/>
          <w:szCs w:val="24"/>
        </w:rPr>
        <w:t>Members report e</w:t>
      </w:r>
      <w:r w:rsidRPr="00AA7AA3">
        <w:rPr>
          <w:rFonts w:ascii="Gill Sans MT" w:hAnsi="Gill Sans MT" w:cstheme="minorHAnsi"/>
          <w:sz w:val="24"/>
          <w:szCs w:val="24"/>
        </w:rPr>
        <w:t>valuations are often commissioned with no reference to either the PGPA Act and ECPF, or how findings are expected or required to contribute to performance reporting. This raises questions about the level of awareness amongst APS staff about non-financial accountability and reporting</w:t>
      </w:r>
      <w:r w:rsidRPr="00AA7AA3" w:rsidDel="009C6D55">
        <w:rPr>
          <w:rFonts w:ascii="Gill Sans MT" w:hAnsi="Gill Sans MT" w:cstheme="minorHAnsi"/>
          <w:sz w:val="24"/>
          <w:szCs w:val="24"/>
        </w:rPr>
        <w:t xml:space="preserve"> </w:t>
      </w:r>
      <w:r w:rsidRPr="00AA7AA3">
        <w:rPr>
          <w:rFonts w:ascii="Gill Sans MT" w:hAnsi="Gill Sans MT" w:cstheme="minorHAnsi"/>
          <w:sz w:val="24"/>
          <w:szCs w:val="24"/>
        </w:rPr>
        <w:t xml:space="preserve">requirements. </w:t>
      </w:r>
    </w:p>
    <w:p w14:paraId="55797035" w14:textId="319CCE20" w:rsidR="00486884" w:rsidRPr="00AA7AA3" w:rsidRDefault="00543499" w:rsidP="00214658">
      <w:pPr>
        <w:rPr>
          <w:rFonts w:ascii="Gill Sans MT" w:hAnsi="Gill Sans MT" w:cstheme="minorHAnsi"/>
          <w:sz w:val="24"/>
          <w:szCs w:val="24"/>
        </w:rPr>
      </w:pPr>
      <w:r w:rsidRPr="00AA7AA3">
        <w:rPr>
          <w:rFonts w:ascii="Gill Sans MT" w:hAnsi="Gill Sans MT" w:cstheme="minorHAnsi"/>
          <w:sz w:val="24"/>
          <w:szCs w:val="24"/>
        </w:rPr>
        <w:t xml:space="preserve">There is also </w:t>
      </w:r>
      <w:r w:rsidR="001C6AA5" w:rsidRPr="00AA7AA3">
        <w:rPr>
          <w:rFonts w:ascii="Gill Sans MT" w:hAnsi="Gill Sans MT" w:cstheme="minorHAnsi"/>
          <w:sz w:val="24"/>
          <w:szCs w:val="24"/>
        </w:rPr>
        <w:t xml:space="preserve">a broader question as to </w:t>
      </w:r>
      <w:r w:rsidR="00AA6510" w:rsidRPr="00AA7AA3">
        <w:rPr>
          <w:rFonts w:ascii="Gill Sans MT" w:hAnsi="Gill Sans MT" w:cstheme="minorHAnsi"/>
          <w:sz w:val="24"/>
          <w:szCs w:val="24"/>
        </w:rPr>
        <w:t xml:space="preserve">whether there is </w:t>
      </w:r>
      <w:r w:rsidR="001C6AA5" w:rsidRPr="00AA7AA3">
        <w:rPr>
          <w:rFonts w:ascii="Gill Sans MT" w:hAnsi="Gill Sans MT" w:cstheme="minorHAnsi"/>
          <w:sz w:val="24"/>
          <w:szCs w:val="24"/>
        </w:rPr>
        <w:t xml:space="preserve">a sufficient critical mass </w:t>
      </w:r>
      <w:r w:rsidRPr="00AA7AA3">
        <w:rPr>
          <w:rFonts w:ascii="Gill Sans MT" w:hAnsi="Gill Sans MT" w:cstheme="minorHAnsi"/>
          <w:sz w:val="24"/>
          <w:szCs w:val="24"/>
        </w:rPr>
        <w:t xml:space="preserve">of </w:t>
      </w:r>
      <w:r w:rsidR="00AA6510" w:rsidRPr="00AA7AA3">
        <w:rPr>
          <w:rFonts w:ascii="Gill Sans MT" w:hAnsi="Gill Sans MT" w:cstheme="minorHAnsi"/>
          <w:sz w:val="24"/>
          <w:szCs w:val="24"/>
        </w:rPr>
        <w:t xml:space="preserve">APS </w:t>
      </w:r>
      <w:r w:rsidRPr="00AA7AA3">
        <w:rPr>
          <w:rFonts w:ascii="Gill Sans MT" w:hAnsi="Gill Sans MT" w:cstheme="minorHAnsi"/>
          <w:sz w:val="24"/>
          <w:szCs w:val="24"/>
        </w:rPr>
        <w:t>staff with expertise in research, evaluat</w:t>
      </w:r>
      <w:r w:rsidR="002E0955" w:rsidRPr="00AA7AA3">
        <w:rPr>
          <w:rFonts w:ascii="Gill Sans MT" w:hAnsi="Gill Sans MT" w:cstheme="minorHAnsi"/>
          <w:sz w:val="24"/>
          <w:szCs w:val="24"/>
        </w:rPr>
        <w:t>ion and performa</w:t>
      </w:r>
      <w:r w:rsidR="001C6AA5" w:rsidRPr="00AA7AA3">
        <w:rPr>
          <w:rFonts w:ascii="Gill Sans MT" w:hAnsi="Gill Sans MT" w:cstheme="minorHAnsi"/>
          <w:sz w:val="24"/>
          <w:szCs w:val="24"/>
        </w:rPr>
        <w:t xml:space="preserve">nce measurement. </w:t>
      </w:r>
      <w:r w:rsidR="00486884" w:rsidRPr="00AA7AA3">
        <w:rPr>
          <w:rFonts w:ascii="Gill Sans MT" w:hAnsi="Gill Sans MT" w:cstheme="minorHAnsi"/>
          <w:sz w:val="24"/>
          <w:szCs w:val="24"/>
        </w:rPr>
        <w:t xml:space="preserve">This is not a recent question – senior public servants have </w:t>
      </w:r>
      <w:r w:rsidR="007A1FF6" w:rsidRPr="00AA7AA3">
        <w:rPr>
          <w:rFonts w:ascii="Gill Sans MT" w:hAnsi="Gill Sans MT" w:cstheme="minorHAnsi"/>
          <w:sz w:val="24"/>
          <w:szCs w:val="24"/>
        </w:rPr>
        <w:t xml:space="preserve">previously </w:t>
      </w:r>
      <w:r w:rsidR="00486884" w:rsidRPr="00AA7AA3">
        <w:rPr>
          <w:rFonts w:ascii="Gill Sans MT" w:hAnsi="Gill Sans MT" w:cstheme="minorHAnsi"/>
          <w:sz w:val="24"/>
          <w:szCs w:val="24"/>
        </w:rPr>
        <w:t xml:space="preserve">expressed </w:t>
      </w:r>
      <w:r w:rsidR="007A1FF6" w:rsidRPr="00AA7AA3">
        <w:rPr>
          <w:rFonts w:ascii="Gill Sans MT" w:hAnsi="Gill Sans MT" w:cstheme="minorHAnsi"/>
          <w:sz w:val="24"/>
          <w:szCs w:val="24"/>
        </w:rPr>
        <w:t xml:space="preserve">a view </w:t>
      </w:r>
      <w:r w:rsidR="00486884" w:rsidRPr="00AA7AA3">
        <w:rPr>
          <w:rFonts w:ascii="Gill Sans MT" w:hAnsi="Gill Sans MT" w:cstheme="minorHAnsi"/>
          <w:sz w:val="24"/>
          <w:szCs w:val="24"/>
        </w:rPr>
        <w:t>that key skill sets in research and analysis</w:t>
      </w:r>
      <w:r w:rsidR="00486884" w:rsidRPr="00AA7AA3">
        <w:rPr>
          <w:rStyle w:val="FootnoteReference"/>
          <w:rFonts w:ascii="Gill Sans MT" w:hAnsi="Gill Sans MT" w:cstheme="minorHAnsi"/>
          <w:sz w:val="24"/>
          <w:szCs w:val="24"/>
        </w:rPr>
        <w:footnoteReference w:id="16"/>
      </w:r>
      <w:r w:rsidR="00486884" w:rsidRPr="00AA7AA3">
        <w:rPr>
          <w:rFonts w:ascii="Gill Sans MT" w:hAnsi="Gill Sans MT" w:cstheme="minorHAnsi"/>
          <w:sz w:val="24"/>
          <w:szCs w:val="24"/>
        </w:rPr>
        <w:t xml:space="preserve"> and evaluation</w:t>
      </w:r>
      <w:r w:rsidR="00486884" w:rsidRPr="00AA7AA3">
        <w:rPr>
          <w:rStyle w:val="FootnoteReference"/>
          <w:rFonts w:ascii="Gill Sans MT" w:hAnsi="Gill Sans MT" w:cstheme="minorHAnsi"/>
          <w:sz w:val="24"/>
          <w:szCs w:val="24"/>
        </w:rPr>
        <w:footnoteReference w:id="17"/>
      </w:r>
      <w:r w:rsidR="00486884" w:rsidRPr="00AA7AA3">
        <w:rPr>
          <w:rFonts w:ascii="Gill Sans MT" w:hAnsi="Gill Sans MT" w:cstheme="minorHAnsi"/>
          <w:sz w:val="24"/>
          <w:szCs w:val="24"/>
        </w:rPr>
        <w:t xml:space="preserve"> </w:t>
      </w:r>
      <w:r w:rsidR="007A1FF6" w:rsidRPr="00AA7AA3">
        <w:rPr>
          <w:rFonts w:ascii="Gill Sans MT" w:hAnsi="Gill Sans MT" w:cstheme="minorHAnsi"/>
          <w:sz w:val="24"/>
          <w:szCs w:val="24"/>
        </w:rPr>
        <w:t xml:space="preserve">within the APS are in </w:t>
      </w:r>
      <w:r w:rsidR="00486884" w:rsidRPr="00AA7AA3">
        <w:rPr>
          <w:rFonts w:ascii="Gill Sans MT" w:hAnsi="Gill Sans MT" w:cstheme="minorHAnsi"/>
          <w:sz w:val="24"/>
          <w:szCs w:val="24"/>
        </w:rPr>
        <w:t xml:space="preserve">short supply. This may reflect both a capability and capacity issue, possibly arising from the trend for several decades – across all levels of government – for staff to be ‘generalists’ who are capable of and can be deployed to undertake the wide range of tasks often required of public servants – while specialist expertise is often purchased or procured. While this has provided the APS with flexibility, it may also have </w:t>
      </w:r>
      <w:r w:rsidR="0032407E">
        <w:rPr>
          <w:rFonts w:ascii="Gill Sans MT" w:hAnsi="Gill Sans MT" w:cstheme="minorHAnsi"/>
          <w:sz w:val="24"/>
          <w:szCs w:val="24"/>
        </w:rPr>
        <w:t>led</w:t>
      </w:r>
      <w:r w:rsidR="00486884" w:rsidRPr="00AA7AA3">
        <w:rPr>
          <w:rFonts w:ascii="Gill Sans MT" w:hAnsi="Gill Sans MT" w:cstheme="minorHAnsi"/>
          <w:sz w:val="24"/>
          <w:szCs w:val="24"/>
        </w:rPr>
        <w:t xml:space="preserve"> to some costs.</w:t>
      </w:r>
    </w:p>
    <w:p w14:paraId="5FA02D29" w14:textId="3A5AAFE2" w:rsidR="00486884" w:rsidRPr="00AA7AA3" w:rsidRDefault="00543499" w:rsidP="00214658">
      <w:pPr>
        <w:rPr>
          <w:rFonts w:ascii="Gill Sans MT" w:hAnsi="Gill Sans MT" w:cstheme="minorHAnsi"/>
          <w:sz w:val="24"/>
          <w:szCs w:val="24"/>
        </w:rPr>
      </w:pPr>
      <w:r w:rsidRPr="00AA7AA3">
        <w:rPr>
          <w:rFonts w:ascii="Gill Sans MT" w:hAnsi="Gill Sans MT" w:cstheme="minorHAnsi"/>
          <w:sz w:val="24"/>
          <w:szCs w:val="24"/>
        </w:rPr>
        <w:t>A</w:t>
      </w:r>
      <w:r w:rsidR="000574C0" w:rsidRPr="00AA7AA3">
        <w:rPr>
          <w:rFonts w:ascii="Gill Sans MT" w:hAnsi="Gill Sans MT" w:cstheme="minorHAnsi"/>
          <w:sz w:val="24"/>
          <w:szCs w:val="24"/>
        </w:rPr>
        <w:t>E</w:t>
      </w:r>
      <w:r w:rsidRPr="00AA7AA3">
        <w:rPr>
          <w:rFonts w:ascii="Gill Sans MT" w:hAnsi="Gill Sans MT" w:cstheme="minorHAnsi"/>
          <w:sz w:val="24"/>
          <w:szCs w:val="24"/>
        </w:rPr>
        <w:t>S members</w:t>
      </w:r>
      <w:r w:rsidR="0032407E">
        <w:rPr>
          <w:rFonts w:ascii="Gill Sans MT" w:hAnsi="Gill Sans MT" w:cstheme="minorHAnsi"/>
          <w:sz w:val="24"/>
          <w:szCs w:val="24"/>
        </w:rPr>
        <w:t xml:space="preserve">, </w:t>
      </w:r>
      <w:r w:rsidRPr="00AA7AA3">
        <w:rPr>
          <w:rFonts w:ascii="Gill Sans MT" w:hAnsi="Gill Sans MT" w:cstheme="minorHAnsi"/>
          <w:sz w:val="24"/>
          <w:szCs w:val="24"/>
        </w:rPr>
        <w:t>both internal and external practitioners</w:t>
      </w:r>
      <w:r w:rsidR="0032407E">
        <w:rPr>
          <w:rFonts w:ascii="Gill Sans MT" w:hAnsi="Gill Sans MT" w:cstheme="minorHAnsi"/>
          <w:sz w:val="24"/>
          <w:szCs w:val="24"/>
        </w:rPr>
        <w:t xml:space="preserve">, </w:t>
      </w:r>
      <w:r w:rsidRPr="00AA7AA3">
        <w:rPr>
          <w:rFonts w:ascii="Gill Sans MT" w:hAnsi="Gill Sans MT" w:cstheme="minorHAnsi"/>
          <w:sz w:val="24"/>
          <w:szCs w:val="24"/>
        </w:rPr>
        <w:t>report that this manifests itself all-too-often in evaluation briefs or Request For Quotes that are poorly constructed and articulated (i.e., without a clear view of their purpose)</w:t>
      </w:r>
      <w:r w:rsidR="0032407E">
        <w:rPr>
          <w:rFonts w:ascii="Gill Sans MT" w:hAnsi="Gill Sans MT" w:cstheme="minorHAnsi"/>
          <w:sz w:val="24"/>
          <w:szCs w:val="24"/>
        </w:rPr>
        <w:t>,</w:t>
      </w:r>
      <w:r w:rsidRPr="00AA7AA3">
        <w:rPr>
          <w:rFonts w:ascii="Gill Sans MT" w:hAnsi="Gill Sans MT" w:cstheme="minorHAnsi"/>
          <w:sz w:val="24"/>
          <w:szCs w:val="24"/>
        </w:rPr>
        <w:t xml:space="preserve"> are unrealistic in terms of their scope, timing and resourcing (e.g. demanding</w:t>
      </w:r>
      <w:r w:rsidR="000574C0" w:rsidRPr="00AA7AA3">
        <w:rPr>
          <w:rFonts w:ascii="Gill Sans MT" w:hAnsi="Gill Sans MT" w:cstheme="minorHAnsi"/>
          <w:sz w:val="24"/>
          <w:szCs w:val="24"/>
        </w:rPr>
        <w:t>,</w:t>
      </w:r>
      <w:r w:rsidRPr="00AA7AA3">
        <w:rPr>
          <w:rFonts w:ascii="Gill Sans MT" w:hAnsi="Gill Sans MT" w:cstheme="minorHAnsi"/>
          <w:sz w:val="24"/>
          <w:szCs w:val="24"/>
        </w:rPr>
        <w:t xml:space="preserve"> complex evaluations being required with very short timeframes and limited budgets)</w:t>
      </w:r>
      <w:r w:rsidR="0032407E">
        <w:rPr>
          <w:rFonts w:ascii="Gill Sans MT" w:hAnsi="Gill Sans MT" w:cstheme="minorHAnsi"/>
          <w:sz w:val="24"/>
          <w:szCs w:val="24"/>
        </w:rPr>
        <w:t>,</w:t>
      </w:r>
      <w:r w:rsidRPr="00AA7AA3">
        <w:rPr>
          <w:rFonts w:ascii="Gill Sans MT" w:hAnsi="Gill Sans MT" w:cstheme="minorHAnsi"/>
          <w:sz w:val="24"/>
          <w:szCs w:val="24"/>
        </w:rPr>
        <w:t xml:space="preserve"> and with little sense as to what constitutes quality. </w:t>
      </w:r>
      <w:r w:rsidR="00486884" w:rsidRPr="00AA7AA3">
        <w:rPr>
          <w:rFonts w:ascii="Gill Sans MT" w:hAnsi="Gill Sans MT" w:cstheme="minorHAnsi"/>
          <w:sz w:val="24"/>
          <w:szCs w:val="24"/>
        </w:rPr>
        <w:t>Even if the evaluation is being conducted externally, i</w:t>
      </w:r>
      <w:r w:rsidRPr="00AA7AA3">
        <w:rPr>
          <w:rFonts w:ascii="Gill Sans MT" w:hAnsi="Gill Sans MT" w:cstheme="minorHAnsi"/>
          <w:sz w:val="24"/>
          <w:szCs w:val="24"/>
        </w:rPr>
        <w:t xml:space="preserve">t </w:t>
      </w:r>
      <w:r w:rsidR="00486884" w:rsidRPr="00AA7AA3">
        <w:rPr>
          <w:rFonts w:ascii="Gill Sans MT" w:hAnsi="Gill Sans MT" w:cstheme="minorHAnsi"/>
          <w:sz w:val="24"/>
          <w:szCs w:val="24"/>
        </w:rPr>
        <w:t>can result</w:t>
      </w:r>
      <w:r w:rsidRPr="00AA7AA3">
        <w:rPr>
          <w:rFonts w:ascii="Gill Sans MT" w:hAnsi="Gill Sans MT" w:cstheme="minorHAnsi"/>
          <w:sz w:val="24"/>
          <w:szCs w:val="24"/>
        </w:rPr>
        <w:t xml:space="preserve"> in </w:t>
      </w:r>
      <w:r w:rsidR="000574C0" w:rsidRPr="00AA7AA3">
        <w:rPr>
          <w:rFonts w:ascii="Gill Sans MT" w:hAnsi="Gill Sans MT" w:cstheme="minorHAnsi"/>
          <w:sz w:val="24"/>
          <w:szCs w:val="24"/>
        </w:rPr>
        <w:t>its</w:t>
      </w:r>
      <w:r w:rsidRPr="00AA7AA3">
        <w:rPr>
          <w:rFonts w:ascii="Gill Sans MT" w:hAnsi="Gill Sans MT" w:cstheme="minorHAnsi"/>
          <w:sz w:val="24"/>
          <w:szCs w:val="24"/>
        </w:rPr>
        <w:t xml:space="preserve"> project and contract management being fraught, and the quality of the evaluation findings being compromised. </w:t>
      </w:r>
    </w:p>
    <w:p w14:paraId="42BE80B3" w14:textId="0C3BC1A2" w:rsidR="004B562C" w:rsidRPr="00AA7AA3" w:rsidRDefault="00543499" w:rsidP="00214658">
      <w:pPr>
        <w:rPr>
          <w:rFonts w:ascii="Gill Sans MT" w:hAnsi="Gill Sans MT" w:cstheme="minorHAnsi"/>
          <w:sz w:val="24"/>
          <w:szCs w:val="24"/>
        </w:rPr>
      </w:pPr>
      <w:r w:rsidRPr="00AA7AA3">
        <w:rPr>
          <w:rFonts w:ascii="Gill Sans MT" w:hAnsi="Gill Sans MT" w:cstheme="minorHAnsi"/>
          <w:sz w:val="24"/>
          <w:szCs w:val="24"/>
        </w:rPr>
        <w:t xml:space="preserve">Ultimately, it creates risk in </w:t>
      </w:r>
      <w:r w:rsidR="000574C0" w:rsidRPr="00AA7AA3">
        <w:rPr>
          <w:rFonts w:ascii="Gill Sans MT" w:hAnsi="Gill Sans MT" w:cstheme="minorHAnsi"/>
          <w:sz w:val="24"/>
          <w:szCs w:val="24"/>
        </w:rPr>
        <w:t>regards</w:t>
      </w:r>
      <w:r w:rsidRPr="00AA7AA3">
        <w:rPr>
          <w:rFonts w:ascii="Gill Sans MT" w:hAnsi="Gill Sans MT" w:cstheme="minorHAnsi"/>
          <w:sz w:val="24"/>
          <w:szCs w:val="24"/>
        </w:rPr>
        <w:t xml:space="preserve"> </w:t>
      </w:r>
      <w:r w:rsidR="00AA6510" w:rsidRPr="00AA7AA3">
        <w:rPr>
          <w:rFonts w:ascii="Gill Sans MT" w:hAnsi="Gill Sans MT" w:cstheme="minorHAnsi"/>
          <w:sz w:val="24"/>
          <w:szCs w:val="24"/>
        </w:rPr>
        <w:t xml:space="preserve">to </w:t>
      </w:r>
      <w:r w:rsidRPr="00AA7AA3">
        <w:rPr>
          <w:rFonts w:ascii="Gill Sans MT" w:hAnsi="Gill Sans MT" w:cstheme="minorHAnsi"/>
          <w:sz w:val="24"/>
          <w:szCs w:val="24"/>
        </w:rPr>
        <w:t>the Australian Government obtaining value</w:t>
      </w:r>
      <w:r w:rsidR="00C8574B">
        <w:rPr>
          <w:rFonts w:ascii="Gill Sans MT" w:hAnsi="Gill Sans MT" w:cstheme="minorHAnsi"/>
          <w:sz w:val="24"/>
          <w:szCs w:val="24"/>
        </w:rPr>
        <w:t>-</w:t>
      </w:r>
      <w:r w:rsidRPr="00AA7AA3">
        <w:rPr>
          <w:rFonts w:ascii="Gill Sans MT" w:hAnsi="Gill Sans MT" w:cstheme="minorHAnsi"/>
          <w:sz w:val="24"/>
          <w:szCs w:val="24"/>
        </w:rPr>
        <w:t>for</w:t>
      </w:r>
      <w:r w:rsidR="00C8574B">
        <w:rPr>
          <w:rFonts w:ascii="Gill Sans MT" w:hAnsi="Gill Sans MT" w:cstheme="minorHAnsi"/>
          <w:sz w:val="24"/>
          <w:szCs w:val="24"/>
        </w:rPr>
        <w:t>-</w:t>
      </w:r>
      <w:r w:rsidRPr="00AA7AA3">
        <w:rPr>
          <w:rFonts w:ascii="Gill Sans MT" w:hAnsi="Gill Sans MT" w:cstheme="minorHAnsi"/>
          <w:sz w:val="24"/>
          <w:szCs w:val="24"/>
        </w:rPr>
        <w:t>money from its commissioning evaluations – both in terms of immediate value for money from an individual evaluation project (</w:t>
      </w:r>
      <w:r w:rsidR="000574C0" w:rsidRPr="00AA7AA3">
        <w:rPr>
          <w:rFonts w:ascii="Gill Sans MT" w:hAnsi="Gill Sans MT" w:cstheme="minorHAnsi"/>
          <w:sz w:val="24"/>
          <w:szCs w:val="24"/>
        </w:rPr>
        <w:t>i.e.</w:t>
      </w:r>
      <w:r w:rsidRPr="00AA7AA3">
        <w:rPr>
          <w:rFonts w:ascii="Gill Sans MT" w:hAnsi="Gill Sans MT" w:cstheme="minorHAnsi"/>
          <w:sz w:val="24"/>
          <w:szCs w:val="24"/>
        </w:rPr>
        <w:t xml:space="preserve"> how sound and rigorous the evidence and information, knowledge and insights it delivers), and the broader benefits that could be derived from it effectively informing decisions that lead to improved policies and programs (</w:t>
      </w:r>
      <w:r w:rsidR="008346E7" w:rsidRPr="00AA7AA3">
        <w:rPr>
          <w:rFonts w:ascii="Gill Sans MT" w:hAnsi="Gill Sans MT" w:cstheme="minorHAnsi"/>
          <w:sz w:val="24"/>
          <w:szCs w:val="24"/>
        </w:rPr>
        <w:t xml:space="preserve">e.g. </w:t>
      </w:r>
      <w:r w:rsidRPr="00AA7AA3">
        <w:rPr>
          <w:rFonts w:ascii="Gill Sans MT" w:hAnsi="Gill Sans MT" w:cstheme="minorHAnsi"/>
          <w:sz w:val="24"/>
          <w:szCs w:val="24"/>
        </w:rPr>
        <w:t>either through better returns on expenditure</w:t>
      </w:r>
      <w:r w:rsidR="001E04CD" w:rsidRPr="00AA7AA3">
        <w:rPr>
          <w:rFonts w:ascii="Gill Sans MT" w:hAnsi="Gill Sans MT" w:cstheme="minorHAnsi"/>
          <w:sz w:val="24"/>
          <w:szCs w:val="24"/>
        </w:rPr>
        <w:t xml:space="preserve"> or improved efficiencies</w:t>
      </w:r>
      <w:r w:rsidRPr="00AA7AA3">
        <w:rPr>
          <w:rFonts w:ascii="Gill Sans MT" w:hAnsi="Gill Sans MT" w:cstheme="minorHAnsi"/>
          <w:sz w:val="24"/>
          <w:szCs w:val="24"/>
        </w:rPr>
        <w:t xml:space="preserve">). </w:t>
      </w:r>
    </w:p>
    <w:p w14:paraId="0D54601A" w14:textId="45641FBB" w:rsidR="00B25BF0" w:rsidRPr="00AA7AA3" w:rsidRDefault="00E7039F" w:rsidP="00214658">
      <w:pPr>
        <w:spacing w:before="360"/>
        <w:rPr>
          <w:rFonts w:ascii="Gill Sans MT" w:hAnsi="Gill Sans MT" w:cstheme="minorHAnsi"/>
          <w:b/>
          <w:sz w:val="24"/>
          <w:szCs w:val="24"/>
        </w:rPr>
      </w:pPr>
      <w:r w:rsidRPr="00AA7AA3">
        <w:rPr>
          <w:rFonts w:ascii="Gill Sans MT" w:hAnsi="Gill Sans MT" w:cstheme="minorHAnsi"/>
          <w:b/>
          <w:sz w:val="24"/>
          <w:szCs w:val="24"/>
        </w:rPr>
        <w:t>P</w:t>
      </w:r>
      <w:r w:rsidR="00D54E5B" w:rsidRPr="00AA7AA3">
        <w:rPr>
          <w:rFonts w:ascii="Gill Sans MT" w:hAnsi="Gill Sans MT" w:cstheme="minorHAnsi"/>
          <w:b/>
          <w:sz w:val="24"/>
          <w:szCs w:val="24"/>
        </w:rPr>
        <w:t>OSSIBLE STRATEGIES</w:t>
      </w:r>
    </w:p>
    <w:p w14:paraId="4B734A0D" w14:textId="1CD23892" w:rsidR="00B25BF0" w:rsidRPr="00AA7AA3" w:rsidRDefault="001E37CC" w:rsidP="00214658">
      <w:pPr>
        <w:rPr>
          <w:rFonts w:ascii="Gill Sans MT" w:hAnsi="Gill Sans MT" w:cstheme="minorHAnsi"/>
          <w:sz w:val="24"/>
          <w:szCs w:val="24"/>
        </w:rPr>
      </w:pPr>
      <w:r w:rsidRPr="00AA7AA3">
        <w:rPr>
          <w:rFonts w:ascii="Gill Sans MT" w:hAnsi="Gill Sans MT" w:cstheme="minorHAnsi"/>
          <w:sz w:val="24"/>
          <w:szCs w:val="24"/>
        </w:rPr>
        <w:t>The AES suggest</w:t>
      </w:r>
      <w:r w:rsidR="00B40398">
        <w:rPr>
          <w:rFonts w:ascii="Gill Sans MT" w:hAnsi="Gill Sans MT" w:cstheme="minorHAnsi"/>
          <w:sz w:val="24"/>
          <w:szCs w:val="24"/>
        </w:rPr>
        <w:t>s</w:t>
      </w:r>
      <w:r w:rsidRPr="00AA7AA3">
        <w:rPr>
          <w:rFonts w:ascii="Gill Sans MT" w:hAnsi="Gill Sans MT" w:cstheme="minorHAnsi"/>
          <w:sz w:val="24"/>
          <w:szCs w:val="24"/>
        </w:rPr>
        <w:t xml:space="preserve"> the following strategies for the Independent Reviewers</w:t>
      </w:r>
      <w:r w:rsidR="000725DF" w:rsidRPr="00AA7AA3">
        <w:rPr>
          <w:rFonts w:ascii="Gill Sans MT" w:hAnsi="Gill Sans MT" w:cstheme="minorHAnsi"/>
          <w:sz w:val="24"/>
          <w:szCs w:val="24"/>
        </w:rPr>
        <w:t>’</w:t>
      </w:r>
      <w:r w:rsidRPr="00AA7AA3">
        <w:rPr>
          <w:rFonts w:ascii="Gill Sans MT" w:hAnsi="Gill Sans MT" w:cstheme="minorHAnsi"/>
          <w:sz w:val="24"/>
          <w:szCs w:val="24"/>
        </w:rPr>
        <w:t xml:space="preserve"> consideration:</w:t>
      </w:r>
    </w:p>
    <w:p w14:paraId="73E14D3B" w14:textId="77777777" w:rsidR="00A06AD1" w:rsidRPr="00AA7AA3" w:rsidRDefault="00B25BF0" w:rsidP="00214658">
      <w:pPr>
        <w:keepNext/>
        <w:spacing w:before="100" w:beforeAutospacing="1" w:after="120"/>
        <w:rPr>
          <w:rFonts w:ascii="Gill Sans MT" w:eastAsia="Times New Roman" w:hAnsi="Gill Sans MT" w:cstheme="minorHAnsi"/>
          <w:sz w:val="24"/>
          <w:szCs w:val="24"/>
        </w:rPr>
      </w:pPr>
      <w:r w:rsidRPr="00AA7AA3">
        <w:rPr>
          <w:rFonts w:ascii="Gill Sans MT" w:eastAsia="Times New Roman" w:hAnsi="Gill Sans MT" w:cstheme="minorHAnsi"/>
          <w:i/>
          <w:sz w:val="24"/>
          <w:szCs w:val="24"/>
        </w:rPr>
        <w:lastRenderedPageBreak/>
        <w:t>Investment in Capacity and Capability building</w:t>
      </w:r>
    </w:p>
    <w:p w14:paraId="19ADF618" w14:textId="311A5C97" w:rsidR="00C75B7A" w:rsidRPr="00AA7AA3" w:rsidRDefault="00C75B7A" w:rsidP="00214658">
      <w:pPr>
        <w:keepNext/>
        <w:spacing w:after="100" w:afterAutospacing="1"/>
        <w:rPr>
          <w:rFonts w:ascii="Gill Sans MT" w:eastAsia="Times New Roman" w:hAnsi="Gill Sans MT" w:cstheme="minorHAnsi"/>
          <w:sz w:val="24"/>
          <w:szCs w:val="24"/>
        </w:rPr>
      </w:pPr>
      <w:r w:rsidRPr="00AA7AA3">
        <w:rPr>
          <w:rFonts w:ascii="Gill Sans MT" w:eastAsia="Times New Roman" w:hAnsi="Gill Sans MT" w:cstheme="minorHAnsi"/>
          <w:sz w:val="24"/>
          <w:szCs w:val="24"/>
        </w:rPr>
        <w:t xml:space="preserve">The AES notes the importance placed on embedding evaluation and its practices across the APS, while observing that currently they are limited to technical and specialist areas of agencies. The AES supports </w:t>
      </w:r>
      <w:r w:rsidR="000725DF" w:rsidRPr="00AA7AA3">
        <w:rPr>
          <w:rFonts w:ascii="Gill Sans MT" w:eastAsia="Times New Roman" w:hAnsi="Gill Sans MT" w:cstheme="minorHAnsi"/>
          <w:sz w:val="24"/>
          <w:szCs w:val="24"/>
        </w:rPr>
        <w:t xml:space="preserve">the Department of </w:t>
      </w:r>
      <w:r w:rsidRPr="00AA7AA3">
        <w:rPr>
          <w:rFonts w:ascii="Gill Sans MT" w:eastAsia="Times New Roman" w:hAnsi="Gill Sans MT" w:cstheme="minorHAnsi"/>
          <w:sz w:val="24"/>
          <w:szCs w:val="24"/>
        </w:rPr>
        <w:t>Finance’s practice of issuing Resource Management Guides to elaborate more generally on the principles of the PGPA Act. </w:t>
      </w:r>
    </w:p>
    <w:p w14:paraId="52C4F6E2" w14:textId="41FC837F" w:rsidR="002232C5" w:rsidRPr="00AA7AA3" w:rsidRDefault="00C75B7A" w:rsidP="00214658">
      <w:pPr>
        <w:spacing w:before="100" w:beforeAutospacing="1" w:after="100" w:afterAutospacing="1"/>
        <w:rPr>
          <w:rFonts w:ascii="Gill Sans MT" w:eastAsia="Times New Roman" w:hAnsi="Gill Sans MT" w:cstheme="minorHAnsi"/>
          <w:sz w:val="24"/>
          <w:szCs w:val="24"/>
        </w:rPr>
      </w:pPr>
      <w:r w:rsidRPr="00AA7AA3">
        <w:rPr>
          <w:rFonts w:ascii="Gill Sans MT" w:eastAsia="Times New Roman" w:hAnsi="Gill Sans MT" w:cstheme="minorHAnsi"/>
          <w:sz w:val="24"/>
          <w:szCs w:val="24"/>
        </w:rPr>
        <w:t>However, this practice is at risk of being read only by key staff and subject to their interpretations of its requirements. The intention of the PGPA Act is to change APS practice and embed its requirements into the future and, as such, needs additional structure to bring this about.</w:t>
      </w:r>
      <w:r w:rsidR="00D9741A" w:rsidRPr="00AA7AA3">
        <w:rPr>
          <w:rFonts w:ascii="Gill Sans MT" w:eastAsia="Times New Roman" w:hAnsi="Gill Sans MT" w:cstheme="minorHAnsi"/>
          <w:sz w:val="24"/>
          <w:szCs w:val="24"/>
        </w:rPr>
        <w:t xml:space="preserve"> </w:t>
      </w:r>
      <w:r w:rsidR="006318BC" w:rsidRPr="00AA7AA3">
        <w:rPr>
          <w:rFonts w:ascii="Gill Sans MT" w:eastAsia="Times New Roman" w:hAnsi="Gill Sans MT" w:cstheme="minorHAnsi"/>
          <w:sz w:val="24"/>
          <w:szCs w:val="24"/>
        </w:rPr>
        <w:t xml:space="preserve">Additional investment may be required in creating a greater awareness of the PGPA and ECPF </w:t>
      </w:r>
      <w:r w:rsidR="002232C5" w:rsidRPr="00AA7AA3">
        <w:rPr>
          <w:rFonts w:ascii="Gill Sans MT" w:eastAsia="Times New Roman" w:hAnsi="Gill Sans MT" w:cstheme="minorHAnsi"/>
          <w:sz w:val="24"/>
          <w:szCs w:val="24"/>
        </w:rPr>
        <w:t xml:space="preserve">Investment </w:t>
      </w:r>
      <w:r w:rsidR="006318BC" w:rsidRPr="00AA7AA3">
        <w:rPr>
          <w:rFonts w:ascii="Gill Sans MT" w:eastAsia="Times New Roman" w:hAnsi="Gill Sans MT" w:cstheme="minorHAnsi"/>
          <w:sz w:val="24"/>
          <w:szCs w:val="24"/>
        </w:rPr>
        <w:t xml:space="preserve">amongst APS staff, and </w:t>
      </w:r>
      <w:r w:rsidR="002232C5" w:rsidRPr="00AA7AA3">
        <w:rPr>
          <w:rFonts w:ascii="Gill Sans MT" w:eastAsia="Times New Roman" w:hAnsi="Gill Sans MT" w:cstheme="minorHAnsi"/>
          <w:sz w:val="24"/>
          <w:szCs w:val="24"/>
        </w:rPr>
        <w:t xml:space="preserve">in particular skill sets and knowledge </w:t>
      </w:r>
      <w:r w:rsidR="006318BC" w:rsidRPr="00AA7AA3">
        <w:rPr>
          <w:rFonts w:ascii="Gill Sans MT" w:eastAsia="Times New Roman" w:hAnsi="Gill Sans MT" w:cstheme="minorHAnsi"/>
          <w:sz w:val="24"/>
          <w:szCs w:val="24"/>
        </w:rPr>
        <w:t>e.g.</w:t>
      </w:r>
      <w:r w:rsidR="002232C5" w:rsidRPr="00AA7AA3">
        <w:rPr>
          <w:rFonts w:ascii="Gill Sans MT" w:eastAsia="Times New Roman" w:hAnsi="Gill Sans MT" w:cstheme="minorHAnsi"/>
          <w:sz w:val="24"/>
          <w:szCs w:val="24"/>
        </w:rPr>
        <w:t xml:space="preserve"> </w:t>
      </w:r>
    </w:p>
    <w:p w14:paraId="69401963" w14:textId="5B00FF96" w:rsidR="002232C5" w:rsidRPr="00AA7AA3" w:rsidRDefault="002232C5" w:rsidP="00214658">
      <w:pPr>
        <w:keepNext/>
        <w:numPr>
          <w:ilvl w:val="0"/>
          <w:numId w:val="7"/>
        </w:numPr>
        <w:spacing w:before="100" w:beforeAutospacing="1" w:after="100" w:afterAutospacing="1"/>
        <w:ind w:left="714" w:hanging="357"/>
        <w:rPr>
          <w:rFonts w:ascii="Gill Sans MT" w:eastAsia="Times New Roman" w:hAnsi="Gill Sans MT" w:cstheme="minorHAnsi"/>
          <w:sz w:val="24"/>
          <w:szCs w:val="24"/>
        </w:rPr>
      </w:pPr>
      <w:r w:rsidRPr="00AA7AA3">
        <w:rPr>
          <w:rFonts w:ascii="Gill Sans MT" w:eastAsia="Times New Roman" w:hAnsi="Gill Sans MT" w:cstheme="minorHAnsi"/>
          <w:sz w:val="24"/>
          <w:szCs w:val="24"/>
        </w:rPr>
        <w:t xml:space="preserve">Use of program and ‘purpose' </w:t>
      </w:r>
      <w:r w:rsidR="00D9741A" w:rsidRPr="00AA7AA3">
        <w:rPr>
          <w:rFonts w:ascii="Gill Sans MT" w:eastAsia="Times New Roman" w:hAnsi="Gill Sans MT" w:cstheme="minorHAnsi"/>
          <w:sz w:val="24"/>
          <w:szCs w:val="24"/>
        </w:rPr>
        <w:t xml:space="preserve">logic and </w:t>
      </w:r>
      <w:r w:rsidRPr="00AA7AA3">
        <w:rPr>
          <w:rFonts w:ascii="Gill Sans MT" w:eastAsia="Times New Roman" w:hAnsi="Gill Sans MT" w:cstheme="minorHAnsi"/>
          <w:sz w:val="24"/>
          <w:szCs w:val="24"/>
        </w:rPr>
        <w:t>theory</w:t>
      </w:r>
    </w:p>
    <w:p w14:paraId="5059F3BC" w14:textId="7E730B9B" w:rsidR="00D9741A" w:rsidRPr="00AA7AA3" w:rsidRDefault="00D9741A" w:rsidP="00214658">
      <w:pPr>
        <w:keepNext/>
        <w:numPr>
          <w:ilvl w:val="0"/>
          <w:numId w:val="7"/>
        </w:numPr>
        <w:spacing w:before="100" w:beforeAutospacing="1" w:after="100" w:afterAutospacing="1"/>
        <w:ind w:left="714" w:hanging="357"/>
        <w:rPr>
          <w:rFonts w:ascii="Gill Sans MT" w:eastAsia="Times New Roman" w:hAnsi="Gill Sans MT" w:cstheme="minorHAnsi"/>
          <w:sz w:val="24"/>
          <w:szCs w:val="24"/>
        </w:rPr>
      </w:pPr>
      <w:r w:rsidRPr="00AA7AA3">
        <w:rPr>
          <w:rFonts w:ascii="Gill Sans MT" w:eastAsia="Times New Roman" w:hAnsi="Gill Sans MT" w:cstheme="minorHAnsi"/>
          <w:sz w:val="24"/>
          <w:szCs w:val="24"/>
        </w:rPr>
        <w:t>Developing performance measurement frameworks</w:t>
      </w:r>
    </w:p>
    <w:p w14:paraId="2DCEBB12" w14:textId="3F8ED587" w:rsidR="002232C5" w:rsidRPr="00AA7AA3" w:rsidRDefault="002232C5" w:rsidP="00214658">
      <w:pPr>
        <w:numPr>
          <w:ilvl w:val="0"/>
          <w:numId w:val="7"/>
        </w:numPr>
        <w:spacing w:before="100" w:beforeAutospacing="1" w:after="100" w:afterAutospacing="1"/>
        <w:rPr>
          <w:rFonts w:ascii="Gill Sans MT" w:eastAsia="Times New Roman" w:hAnsi="Gill Sans MT" w:cstheme="minorHAnsi"/>
          <w:sz w:val="24"/>
          <w:szCs w:val="24"/>
        </w:rPr>
      </w:pPr>
      <w:r w:rsidRPr="00AA7AA3">
        <w:rPr>
          <w:rFonts w:ascii="Gill Sans MT" w:eastAsia="Times New Roman" w:hAnsi="Gill Sans MT" w:cstheme="minorHAnsi"/>
          <w:sz w:val="24"/>
          <w:szCs w:val="24"/>
        </w:rPr>
        <w:t>Being able to tell a performance story</w:t>
      </w:r>
    </w:p>
    <w:p w14:paraId="5B1ACA46" w14:textId="3F09EBD7" w:rsidR="002232C5" w:rsidRPr="00AA7AA3" w:rsidRDefault="002232C5" w:rsidP="00214658">
      <w:pPr>
        <w:numPr>
          <w:ilvl w:val="0"/>
          <w:numId w:val="7"/>
        </w:numPr>
        <w:spacing w:before="100" w:beforeAutospacing="1" w:after="100" w:afterAutospacing="1"/>
        <w:rPr>
          <w:rFonts w:ascii="Gill Sans MT" w:eastAsia="Times New Roman" w:hAnsi="Gill Sans MT" w:cstheme="minorHAnsi"/>
          <w:sz w:val="24"/>
          <w:szCs w:val="24"/>
        </w:rPr>
      </w:pPr>
      <w:r w:rsidRPr="00AA7AA3">
        <w:rPr>
          <w:rFonts w:ascii="Gill Sans MT" w:eastAsia="Times New Roman" w:hAnsi="Gill Sans MT" w:cstheme="minorHAnsi"/>
          <w:sz w:val="24"/>
          <w:szCs w:val="24"/>
        </w:rPr>
        <w:t>How to include useful qualitative analysis in different levels of reporting (e.g. Australian Government Solicitor and DSS</w:t>
      </w:r>
      <w:r w:rsidR="006318BC" w:rsidRPr="00AA7AA3">
        <w:rPr>
          <w:rFonts w:ascii="Gill Sans MT" w:eastAsia="Times New Roman" w:hAnsi="Gill Sans MT" w:cstheme="minorHAnsi"/>
          <w:sz w:val="24"/>
          <w:szCs w:val="24"/>
        </w:rPr>
        <w:t xml:space="preserve"> </w:t>
      </w:r>
      <w:r w:rsidR="006F266F" w:rsidRPr="00AA7AA3">
        <w:rPr>
          <w:rFonts w:ascii="Gill Sans MT" w:eastAsia="Times New Roman" w:hAnsi="Gill Sans MT" w:cstheme="minorHAnsi"/>
          <w:sz w:val="24"/>
          <w:szCs w:val="24"/>
        </w:rPr>
        <w:t>-</w:t>
      </w:r>
      <w:r w:rsidRPr="00AA7AA3">
        <w:rPr>
          <w:rFonts w:ascii="Gill Sans MT" w:eastAsia="Times New Roman" w:hAnsi="Gill Sans MT" w:cstheme="minorHAnsi"/>
          <w:sz w:val="24"/>
          <w:szCs w:val="24"/>
        </w:rPr>
        <w:t xml:space="preserve"> </w:t>
      </w:r>
      <w:hyperlink r:id="rId12" w:history="1">
        <w:r w:rsidR="006318BC" w:rsidRPr="00AA7AA3">
          <w:rPr>
            <w:rStyle w:val="Hyperlink"/>
            <w:rFonts w:ascii="Gill Sans MT" w:eastAsia="Times New Roman" w:hAnsi="Gill Sans MT" w:cstheme="minorHAnsi"/>
            <w:sz w:val="24"/>
            <w:szCs w:val="24"/>
          </w:rPr>
          <w:t>https://www.dss.gov.au/publications-articles/corporate-publications/annual-reports/dss-annual-report-2016-17</w:t>
        </w:r>
      </w:hyperlink>
      <w:r w:rsidR="006318BC" w:rsidRPr="00AA7AA3">
        <w:rPr>
          <w:rFonts w:ascii="Gill Sans MT" w:eastAsia="Times New Roman" w:hAnsi="Gill Sans MT" w:cstheme="minorHAnsi"/>
          <w:sz w:val="24"/>
          <w:szCs w:val="24"/>
        </w:rPr>
        <w:t xml:space="preserve"> </w:t>
      </w:r>
      <w:r w:rsidRPr="00AA7AA3">
        <w:rPr>
          <w:rFonts w:ascii="Gill Sans MT" w:eastAsia="Times New Roman" w:hAnsi="Gill Sans MT" w:cstheme="minorHAnsi"/>
          <w:sz w:val="24"/>
          <w:szCs w:val="24"/>
        </w:rPr>
        <w:t>)</w:t>
      </w:r>
    </w:p>
    <w:p w14:paraId="27BA04C8" w14:textId="634E1397" w:rsidR="002232C5" w:rsidRPr="00AA7AA3" w:rsidRDefault="002232C5" w:rsidP="00214658">
      <w:pPr>
        <w:spacing w:before="100" w:beforeAutospacing="1" w:after="100" w:afterAutospacing="1"/>
        <w:rPr>
          <w:rFonts w:ascii="Gill Sans MT" w:eastAsia="Times New Roman" w:hAnsi="Gill Sans MT" w:cstheme="minorHAnsi"/>
          <w:sz w:val="24"/>
          <w:szCs w:val="24"/>
        </w:rPr>
      </w:pPr>
      <w:r w:rsidRPr="00AA7AA3">
        <w:rPr>
          <w:rFonts w:ascii="Gill Sans MT" w:eastAsia="Times New Roman" w:hAnsi="Gill Sans MT" w:cstheme="minorHAnsi"/>
          <w:sz w:val="24"/>
          <w:szCs w:val="24"/>
        </w:rPr>
        <w:t>The AES, a number of its members and a range of other organisations and institutions provide resources and training in the</w:t>
      </w:r>
      <w:r w:rsidR="006318BC" w:rsidRPr="00AA7AA3">
        <w:rPr>
          <w:rFonts w:ascii="Gill Sans MT" w:eastAsia="Times New Roman" w:hAnsi="Gill Sans MT" w:cstheme="minorHAnsi"/>
          <w:sz w:val="24"/>
          <w:szCs w:val="24"/>
        </w:rPr>
        <w:t xml:space="preserve">se areas. There may be value in the APS, either via the Department of Finance or the Australian Public Service Commission, looking to develop strategic relationships and partnerships with </w:t>
      </w:r>
      <w:r w:rsidR="00AB7C7F" w:rsidRPr="00AA7AA3">
        <w:rPr>
          <w:rFonts w:ascii="Gill Sans MT" w:eastAsia="Times New Roman" w:hAnsi="Gill Sans MT" w:cstheme="minorHAnsi"/>
          <w:sz w:val="24"/>
          <w:szCs w:val="24"/>
        </w:rPr>
        <w:t xml:space="preserve">such </w:t>
      </w:r>
      <w:r w:rsidR="006F266F" w:rsidRPr="00AA7AA3">
        <w:rPr>
          <w:rFonts w:ascii="Gill Sans MT" w:eastAsia="Times New Roman" w:hAnsi="Gill Sans MT" w:cstheme="minorHAnsi"/>
          <w:sz w:val="24"/>
          <w:szCs w:val="24"/>
        </w:rPr>
        <w:t xml:space="preserve">entities </w:t>
      </w:r>
      <w:r w:rsidR="006318BC" w:rsidRPr="00AA7AA3">
        <w:rPr>
          <w:rFonts w:ascii="Gill Sans MT" w:eastAsia="Times New Roman" w:hAnsi="Gill Sans MT" w:cstheme="minorHAnsi"/>
          <w:sz w:val="24"/>
          <w:szCs w:val="24"/>
        </w:rPr>
        <w:t>to deliver relevant training and resources to APS staff.</w:t>
      </w:r>
    </w:p>
    <w:p w14:paraId="13C2AD5E" w14:textId="77777777" w:rsidR="000A0F60" w:rsidRPr="00AA7AA3" w:rsidRDefault="002E0955" w:rsidP="00214658">
      <w:pPr>
        <w:spacing w:before="100" w:beforeAutospacing="1" w:after="100" w:afterAutospacing="1"/>
        <w:rPr>
          <w:rFonts w:ascii="Gill Sans MT" w:eastAsia="Times New Roman" w:hAnsi="Gill Sans MT" w:cstheme="minorHAnsi"/>
          <w:sz w:val="24"/>
          <w:szCs w:val="24"/>
        </w:rPr>
      </w:pPr>
      <w:r w:rsidRPr="00AA7AA3">
        <w:rPr>
          <w:rFonts w:ascii="Gill Sans MT" w:eastAsia="Times New Roman" w:hAnsi="Gill Sans MT" w:cstheme="minorHAnsi"/>
          <w:sz w:val="24"/>
          <w:szCs w:val="24"/>
        </w:rPr>
        <w:t xml:space="preserve">The practice of evaluation would also be enhanced by entities having sufficient numbers of </w:t>
      </w:r>
      <w:r w:rsidR="001E04CD" w:rsidRPr="00AA7AA3">
        <w:rPr>
          <w:rFonts w:ascii="Gill Sans MT" w:eastAsia="Times New Roman" w:hAnsi="Gill Sans MT" w:cstheme="minorHAnsi"/>
          <w:sz w:val="24"/>
          <w:szCs w:val="24"/>
        </w:rPr>
        <w:t xml:space="preserve">dedicated </w:t>
      </w:r>
      <w:r w:rsidRPr="00AA7AA3">
        <w:rPr>
          <w:rFonts w:ascii="Gill Sans MT" w:eastAsia="Times New Roman" w:hAnsi="Gill Sans MT" w:cstheme="minorHAnsi"/>
          <w:sz w:val="24"/>
          <w:szCs w:val="24"/>
        </w:rPr>
        <w:t>evaluation specialists within their departments</w:t>
      </w:r>
      <w:r w:rsidR="001E04CD" w:rsidRPr="00AA7AA3">
        <w:rPr>
          <w:rFonts w:ascii="Gill Sans MT" w:eastAsia="Times New Roman" w:hAnsi="Gill Sans MT" w:cstheme="minorHAnsi"/>
          <w:sz w:val="24"/>
          <w:szCs w:val="24"/>
        </w:rPr>
        <w:t xml:space="preserve">. </w:t>
      </w:r>
      <w:r w:rsidR="00A906E6" w:rsidRPr="00AA7AA3">
        <w:rPr>
          <w:rFonts w:ascii="Gill Sans MT" w:eastAsia="Times New Roman" w:hAnsi="Gill Sans MT" w:cstheme="minorHAnsi"/>
          <w:sz w:val="24"/>
          <w:szCs w:val="24"/>
        </w:rPr>
        <w:t>In addition to supporting generalist staff across the policy and program lifecycle in design, review, performance management, monitoring and reporting, s</w:t>
      </w:r>
      <w:r w:rsidR="001E04CD" w:rsidRPr="00AA7AA3">
        <w:rPr>
          <w:rFonts w:ascii="Gill Sans MT" w:eastAsia="Times New Roman" w:hAnsi="Gill Sans MT" w:cstheme="minorHAnsi"/>
          <w:sz w:val="24"/>
          <w:szCs w:val="24"/>
        </w:rPr>
        <w:t>uch staff</w:t>
      </w:r>
      <w:r w:rsidR="00A906E6" w:rsidRPr="00AA7AA3">
        <w:rPr>
          <w:rFonts w:ascii="Gill Sans MT" w:eastAsia="Times New Roman" w:hAnsi="Gill Sans MT" w:cstheme="minorHAnsi"/>
          <w:sz w:val="24"/>
          <w:szCs w:val="24"/>
        </w:rPr>
        <w:t xml:space="preserve"> would also enable their entity to be an ‘informed purchaser’ of evaluation services and ensure value for money. </w:t>
      </w:r>
    </w:p>
    <w:p w14:paraId="77DB1E51" w14:textId="2552A088" w:rsidR="002E0955" w:rsidRPr="00AA7AA3" w:rsidRDefault="001E04CD" w:rsidP="00214658">
      <w:pPr>
        <w:spacing w:before="100" w:beforeAutospacing="1" w:after="100" w:afterAutospacing="1"/>
        <w:rPr>
          <w:rFonts w:ascii="Gill Sans MT" w:eastAsia="Times New Roman" w:hAnsi="Gill Sans MT" w:cstheme="minorHAnsi"/>
          <w:sz w:val="24"/>
          <w:szCs w:val="24"/>
        </w:rPr>
      </w:pPr>
      <w:r w:rsidRPr="00AA7AA3">
        <w:rPr>
          <w:rFonts w:ascii="Gill Sans MT" w:eastAsia="Times New Roman" w:hAnsi="Gill Sans MT" w:cstheme="minorHAnsi"/>
          <w:sz w:val="24"/>
          <w:szCs w:val="24"/>
        </w:rPr>
        <w:t xml:space="preserve">The AES recognises that this would require the Australian Government to incur additional expenditure in staffing </w:t>
      </w:r>
      <w:r w:rsidR="000A0F60" w:rsidRPr="00AA7AA3">
        <w:rPr>
          <w:rFonts w:ascii="Gill Sans MT" w:eastAsia="Times New Roman" w:hAnsi="Gill Sans MT" w:cstheme="minorHAnsi"/>
          <w:sz w:val="24"/>
          <w:szCs w:val="24"/>
        </w:rPr>
        <w:t>at a time when budget constraints remain</w:t>
      </w:r>
      <w:r w:rsidR="00EF5927">
        <w:rPr>
          <w:rFonts w:ascii="Gill Sans MT" w:eastAsia="Times New Roman" w:hAnsi="Gill Sans MT" w:cstheme="minorHAnsi"/>
          <w:sz w:val="24"/>
          <w:szCs w:val="24"/>
        </w:rPr>
        <w:t>. H</w:t>
      </w:r>
      <w:r w:rsidRPr="00AA7AA3">
        <w:rPr>
          <w:rFonts w:ascii="Gill Sans MT" w:eastAsia="Times New Roman" w:hAnsi="Gill Sans MT" w:cstheme="minorHAnsi"/>
          <w:sz w:val="24"/>
          <w:szCs w:val="24"/>
        </w:rPr>
        <w:t xml:space="preserve">owever </w:t>
      </w:r>
      <w:r w:rsidR="000A0F60" w:rsidRPr="00AA7AA3">
        <w:rPr>
          <w:rFonts w:ascii="Gill Sans MT" w:eastAsia="Times New Roman" w:hAnsi="Gill Sans MT" w:cstheme="minorHAnsi"/>
          <w:sz w:val="24"/>
          <w:szCs w:val="24"/>
        </w:rPr>
        <w:t xml:space="preserve">it also </w:t>
      </w:r>
      <w:r w:rsidRPr="00AA7AA3">
        <w:rPr>
          <w:rFonts w:ascii="Gill Sans MT" w:eastAsia="Times New Roman" w:hAnsi="Gill Sans MT" w:cstheme="minorHAnsi"/>
          <w:sz w:val="24"/>
          <w:szCs w:val="24"/>
        </w:rPr>
        <w:t>note</w:t>
      </w:r>
      <w:r w:rsidR="000A0F60" w:rsidRPr="00AA7AA3">
        <w:rPr>
          <w:rFonts w:ascii="Gill Sans MT" w:eastAsia="Times New Roman" w:hAnsi="Gill Sans MT" w:cstheme="minorHAnsi"/>
          <w:sz w:val="24"/>
          <w:szCs w:val="24"/>
        </w:rPr>
        <w:t>s</w:t>
      </w:r>
      <w:r w:rsidRPr="00AA7AA3">
        <w:rPr>
          <w:rFonts w:ascii="Gill Sans MT" w:eastAsia="Times New Roman" w:hAnsi="Gill Sans MT" w:cstheme="minorHAnsi"/>
          <w:sz w:val="24"/>
          <w:szCs w:val="24"/>
        </w:rPr>
        <w:t xml:space="preserve"> the findings from the </w:t>
      </w:r>
      <w:r w:rsidR="000A0F60" w:rsidRPr="00AA7AA3">
        <w:rPr>
          <w:rFonts w:ascii="Gill Sans MT" w:eastAsia="Times New Roman" w:hAnsi="Gill Sans MT" w:cstheme="minorHAnsi"/>
          <w:i/>
          <w:sz w:val="24"/>
          <w:szCs w:val="24"/>
        </w:rPr>
        <w:t>Building the Education Implementation Taskforce</w:t>
      </w:r>
      <w:r w:rsidR="000A0F60" w:rsidRPr="00AA7AA3">
        <w:rPr>
          <w:rFonts w:ascii="Gill Sans MT" w:eastAsia="Times New Roman" w:hAnsi="Gill Sans MT" w:cstheme="minorHAnsi"/>
          <w:sz w:val="24"/>
          <w:szCs w:val="24"/>
        </w:rPr>
        <w:t xml:space="preserve">, which found a relationship between those jurisdictions who retained internal expertise and capability and those who most obtained value for money from the measure, and </w:t>
      </w:r>
      <w:r w:rsidR="00EF5927">
        <w:rPr>
          <w:rFonts w:ascii="Gill Sans MT" w:eastAsia="Times New Roman" w:hAnsi="Gill Sans MT" w:cstheme="minorHAnsi"/>
          <w:sz w:val="24"/>
          <w:szCs w:val="24"/>
        </w:rPr>
        <w:t xml:space="preserve">con concluded </w:t>
      </w:r>
      <w:r w:rsidR="000A0F60" w:rsidRPr="00AA7AA3">
        <w:rPr>
          <w:rFonts w:ascii="Gill Sans MT" w:eastAsia="Times New Roman" w:hAnsi="Gill Sans MT" w:cstheme="minorHAnsi"/>
          <w:sz w:val="24"/>
          <w:szCs w:val="24"/>
        </w:rPr>
        <w:t>that a diminution of internal capacity m</w:t>
      </w:r>
      <w:r w:rsidR="008E2588" w:rsidRPr="00AA7AA3">
        <w:rPr>
          <w:rFonts w:ascii="Gill Sans MT" w:eastAsia="Times New Roman" w:hAnsi="Gill Sans MT" w:cstheme="minorHAnsi"/>
          <w:sz w:val="24"/>
          <w:szCs w:val="24"/>
        </w:rPr>
        <w:t>a</w:t>
      </w:r>
      <w:r w:rsidR="000A0F60" w:rsidRPr="00AA7AA3">
        <w:rPr>
          <w:rFonts w:ascii="Gill Sans MT" w:eastAsia="Times New Roman" w:hAnsi="Gill Sans MT" w:cstheme="minorHAnsi"/>
          <w:sz w:val="24"/>
          <w:szCs w:val="24"/>
        </w:rPr>
        <w:t xml:space="preserve">y represent a false economy. </w:t>
      </w:r>
      <w:r w:rsidR="000A0F60" w:rsidRPr="00AA7AA3">
        <w:rPr>
          <w:rStyle w:val="FootnoteReference"/>
          <w:rFonts w:ascii="Gill Sans MT" w:eastAsia="Times New Roman" w:hAnsi="Gill Sans MT" w:cstheme="minorHAnsi"/>
          <w:sz w:val="24"/>
          <w:szCs w:val="24"/>
        </w:rPr>
        <w:footnoteReference w:id="18"/>
      </w:r>
    </w:p>
    <w:p w14:paraId="766A5E05" w14:textId="1954AE55" w:rsidR="00B25BF0" w:rsidRPr="00AA7AA3" w:rsidRDefault="00B25BF0" w:rsidP="00214658">
      <w:pPr>
        <w:spacing w:before="100" w:beforeAutospacing="1" w:after="120"/>
        <w:rPr>
          <w:rFonts w:ascii="Gill Sans MT" w:eastAsia="Times New Roman" w:hAnsi="Gill Sans MT" w:cstheme="minorHAnsi"/>
          <w:sz w:val="24"/>
          <w:szCs w:val="24"/>
        </w:rPr>
      </w:pPr>
      <w:r w:rsidRPr="00AA7AA3">
        <w:rPr>
          <w:rFonts w:ascii="Gill Sans MT" w:eastAsia="Times New Roman" w:hAnsi="Gill Sans MT" w:cstheme="minorHAnsi"/>
          <w:i/>
          <w:sz w:val="24"/>
          <w:szCs w:val="24"/>
        </w:rPr>
        <w:t>Reviewing incentives for staff</w:t>
      </w:r>
      <w:r w:rsidR="001E37CC" w:rsidRPr="00AA7AA3">
        <w:rPr>
          <w:rFonts w:ascii="Gill Sans MT" w:eastAsia="Times New Roman" w:hAnsi="Gill Sans MT" w:cstheme="minorHAnsi"/>
          <w:sz w:val="24"/>
          <w:szCs w:val="24"/>
        </w:rPr>
        <w:t xml:space="preserve"> </w:t>
      </w:r>
      <w:r w:rsidR="00E57CD0" w:rsidRPr="00AA7AA3">
        <w:rPr>
          <w:rFonts w:ascii="Gill Sans MT" w:eastAsia="Times New Roman" w:hAnsi="Gill Sans MT" w:cstheme="minorHAnsi"/>
          <w:i/>
          <w:sz w:val="24"/>
          <w:szCs w:val="24"/>
        </w:rPr>
        <w:t>and the role of performance leadership</w:t>
      </w:r>
    </w:p>
    <w:p w14:paraId="4078EF73" w14:textId="4F5C42B3" w:rsidR="007C429E" w:rsidRPr="00AA7AA3" w:rsidRDefault="00AB4257" w:rsidP="00214658">
      <w:pPr>
        <w:widowControl w:val="0"/>
        <w:autoSpaceDE w:val="0"/>
        <w:autoSpaceDN w:val="0"/>
        <w:adjustRightInd w:val="0"/>
        <w:spacing w:after="240"/>
        <w:rPr>
          <w:rFonts w:ascii="Gill Sans MT" w:eastAsia="Times New Roman" w:hAnsi="Gill Sans MT" w:cstheme="minorHAnsi"/>
          <w:sz w:val="24"/>
          <w:szCs w:val="24"/>
        </w:rPr>
      </w:pPr>
      <w:r w:rsidRPr="00AA7AA3">
        <w:rPr>
          <w:rFonts w:ascii="Gill Sans MT" w:eastAsia="Times New Roman" w:hAnsi="Gill Sans MT" w:cstheme="minorHAnsi"/>
          <w:sz w:val="24"/>
          <w:szCs w:val="24"/>
        </w:rPr>
        <w:t>A common question that arises with reform and c</w:t>
      </w:r>
      <w:r w:rsidR="00A06AD1" w:rsidRPr="00AA7AA3">
        <w:rPr>
          <w:rFonts w:ascii="Gill Sans MT" w:eastAsia="Times New Roman" w:hAnsi="Gill Sans MT" w:cstheme="minorHAnsi"/>
          <w:sz w:val="24"/>
          <w:szCs w:val="24"/>
        </w:rPr>
        <w:t>h</w:t>
      </w:r>
      <w:r w:rsidRPr="00AA7AA3">
        <w:rPr>
          <w:rFonts w:ascii="Gill Sans MT" w:eastAsia="Times New Roman" w:hAnsi="Gill Sans MT" w:cstheme="minorHAnsi"/>
          <w:sz w:val="24"/>
          <w:szCs w:val="24"/>
        </w:rPr>
        <w:t>a</w:t>
      </w:r>
      <w:r w:rsidR="00A06AD1" w:rsidRPr="00AA7AA3">
        <w:rPr>
          <w:rFonts w:ascii="Gill Sans MT" w:eastAsia="Times New Roman" w:hAnsi="Gill Sans MT" w:cstheme="minorHAnsi"/>
          <w:sz w:val="24"/>
          <w:szCs w:val="24"/>
        </w:rPr>
        <w:t>n</w:t>
      </w:r>
      <w:r w:rsidRPr="00AA7AA3">
        <w:rPr>
          <w:rFonts w:ascii="Gill Sans MT" w:eastAsia="Times New Roman" w:hAnsi="Gill Sans MT" w:cstheme="minorHAnsi"/>
          <w:sz w:val="24"/>
          <w:szCs w:val="24"/>
        </w:rPr>
        <w:t xml:space="preserve">ge management processes is whether it needs to be driven by a ‘top down’ process, a ‘bottom up’ </w:t>
      </w:r>
      <w:r w:rsidR="00A06AD1" w:rsidRPr="00AA7AA3">
        <w:rPr>
          <w:rFonts w:ascii="Gill Sans MT" w:eastAsia="Times New Roman" w:hAnsi="Gill Sans MT" w:cstheme="minorHAnsi"/>
          <w:sz w:val="24"/>
          <w:szCs w:val="24"/>
        </w:rPr>
        <w:t>process</w:t>
      </w:r>
      <w:r w:rsidRPr="00AA7AA3">
        <w:rPr>
          <w:rFonts w:ascii="Gill Sans MT" w:eastAsia="Times New Roman" w:hAnsi="Gill Sans MT" w:cstheme="minorHAnsi"/>
          <w:sz w:val="24"/>
          <w:szCs w:val="24"/>
        </w:rPr>
        <w:t xml:space="preserve">, or a combined </w:t>
      </w:r>
      <w:r w:rsidRPr="00AA7AA3">
        <w:rPr>
          <w:rFonts w:ascii="Gill Sans MT" w:eastAsia="Times New Roman" w:hAnsi="Gill Sans MT" w:cstheme="minorHAnsi"/>
          <w:sz w:val="24"/>
          <w:szCs w:val="24"/>
        </w:rPr>
        <w:lastRenderedPageBreak/>
        <w:t xml:space="preserve">approach. For the PGPA </w:t>
      </w:r>
      <w:r w:rsidR="00A06AD1" w:rsidRPr="00AA7AA3">
        <w:rPr>
          <w:rFonts w:ascii="Gill Sans MT" w:eastAsia="Times New Roman" w:hAnsi="Gill Sans MT" w:cstheme="minorHAnsi"/>
          <w:sz w:val="24"/>
          <w:szCs w:val="24"/>
        </w:rPr>
        <w:t xml:space="preserve">Act </w:t>
      </w:r>
      <w:r w:rsidRPr="00AA7AA3">
        <w:rPr>
          <w:rFonts w:ascii="Gill Sans MT" w:eastAsia="Times New Roman" w:hAnsi="Gill Sans MT" w:cstheme="minorHAnsi"/>
          <w:sz w:val="24"/>
          <w:szCs w:val="24"/>
        </w:rPr>
        <w:t xml:space="preserve">and the ECPF, it may require the latter. Consideration should be given to providing incentives for APS staff at all levels </w:t>
      </w:r>
      <w:r w:rsidR="006F266F" w:rsidRPr="00AA7AA3">
        <w:rPr>
          <w:rFonts w:ascii="Gill Sans MT" w:eastAsia="Times New Roman" w:hAnsi="Gill Sans MT" w:cstheme="minorHAnsi"/>
          <w:sz w:val="24"/>
          <w:szCs w:val="24"/>
        </w:rPr>
        <w:t xml:space="preserve">and roles </w:t>
      </w:r>
      <w:r w:rsidRPr="00AA7AA3">
        <w:rPr>
          <w:rFonts w:ascii="Gill Sans MT" w:eastAsia="Times New Roman" w:hAnsi="Gill Sans MT" w:cstheme="minorHAnsi"/>
          <w:sz w:val="24"/>
          <w:szCs w:val="24"/>
        </w:rPr>
        <w:t>to engage with performance measurement and reporting</w:t>
      </w:r>
      <w:r w:rsidR="001A1A91" w:rsidRPr="00AA7AA3">
        <w:rPr>
          <w:rFonts w:ascii="Gill Sans MT" w:eastAsia="Times New Roman" w:hAnsi="Gill Sans MT" w:cstheme="minorHAnsi"/>
          <w:sz w:val="24"/>
          <w:szCs w:val="24"/>
        </w:rPr>
        <w:t xml:space="preserve"> – such as earned autonomy or differential approach to regulation</w:t>
      </w:r>
      <w:r w:rsidRPr="00AA7AA3">
        <w:rPr>
          <w:rFonts w:ascii="Gill Sans MT" w:eastAsia="Times New Roman" w:hAnsi="Gill Sans MT" w:cstheme="minorHAnsi"/>
          <w:sz w:val="24"/>
          <w:szCs w:val="24"/>
        </w:rPr>
        <w:t xml:space="preserve">. </w:t>
      </w:r>
      <w:r w:rsidR="005D0F98" w:rsidRPr="00AA7AA3">
        <w:rPr>
          <w:rFonts w:ascii="Gill Sans MT" w:eastAsia="Times New Roman" w:hAnsi="Gill Sans MT" w:cstheme="minorHAnsi"/>
          <w:sz w:val="24"/>
          <w:szCs w:val="24"/>
        </w:rPr>
        <w:t xml:space="preserve">Additionally, given the role that senior officers have both in influencing organisational culture and in approving input into Corporate Plans and </w:t>
      </w:r>
      <w:r w:rsidR="00A06AD1" w:rsidRPr="00AA7AA3">
        <w:rPr>
          <w:rFonts w:ascii="Gill Sans MT" w:eastAsia="Times New Roman" w:hAnsi="Gill Sans MT" w:cstheme="minorHAnsi"/>
          <w:sz w:val="24"/>
          <w:szCs w:val="24"/>
        </w:rPr>
        <w:t xml:space="preserve">Annual </w:t>
      </w:r>
      <w:r w:rsidR="005D0F98" w:rsidRPr="00AA7AA3">
        <w:rPr>
          <w:rFonts w:ascii="Gill Sans MT" w:eastAsia="Times New Roman" w:hAnsi="Gill Sans MT" w:cstheme="minorHAnsi"/>
          <w:sz w:val="24"/>
          <w:szCs w:val="24"/>
        </w:rPr>
        <w:t>Performance Statements, there may also be benefit in seeking to foster a culture of performance leadership</w:t>
      </w:r>
      <w:r w:rsidR="003E4E26" w:rsidRPr="00AA7AA3">
        <w:rPr>
          <w:rFonts w:ascii="Gill Sans MT" w:eastAsia="Times New Roman" w:hAnsi="Gill Sans MT" w:cstheme="minorHAnsi"/>
          <w:sz w:val="24"/>
          <w:szCs w:val="24"/>
        </w:rPr>
        <w:t xml:space="preserve"> at that level</w:t>
      </w:r>
      <w:r w:rsidR="005D0F98" w:rsidRPr="00AA7AA3">
        <w:rPr>
          <w:rFonts w:ascii="Gill Sans MT" w:eastAsia="Times New Roman" w:hAnsi="Gill Sans MT" w:cstheme="minorHAnsi"/>
          <w:sz w:val="24"/>
          <w:szCs w:val="24"/>
        </w:rPr>
        <w:t>.</w:t>
      </w:r>
      <w:r w:rsidR="008346E7" w:rsidRPr="00AA7AA3">
        <w:rPr>
          <w:rFonts w:ascii="Gill Sans MT" w:eastAsia="Times New Roman" w:hAnsi="Gill Sans MT" w:cstheme="minorHAnsi"/>
          <w:sz w:val="24"/>
          <w:szCs w:val="24"/>
        </w:rPr>
        <w:t xml:space="preserve"> The AES notes Recommendation 1 from the </w:t>
      </w:r>
      <w:r w:rsidR="008346E7" w:rsidRPr="00AA7AA3">
        <w:rPr>
          <w:rFonts w:ascii="Gill Sans MT" w:eastAsia="Times New Roman" w:hAnsi="Gill Sans MT" w:cstheme="minorHAnsi"/>
          <w:i/>
          <w:sz w:val="24"/>
          <w:szCs w:val="24"/>
        </w:rPr>
        <w:t>Independent Review of the PGPA Act and Rule</w:t>
      </w:r>
      <w:r w:rsidR="008346E7" w:rsidRPr="00AA7AA3">
        <w:rPr>
          <w:rFonts w:ascii="Gill Sans MT" w:eastAsia="Times New Roman" w:hAnsi="Gill Sans MT" w:cstheme="minorHAnsi"/>
          <w:sz w:val="24"/>
          <w:szCs w:val="24"/>
        </w:rPr>
        <w:t xml:space="preserve"> </w:t>
      </w:r>
      <w:r w:rsidR="008346E7" w:rsidRPr="00AA7AA3">
        <w:rPr>
          <w:rFonts w:ascii="Gill Sans MT" w:eastAsia="Times New Roman" w:hAnsi="Gill Sans MT" w:cstheme="minorHAnsi"/>
          <w:i/>
          <w:sz w:val="24"/>
          <w:szCs w:val="24"/>
        </w:rPr>
        <w:t>Consultation Draft</w:t>
      </w:r>
      <w:r w:rsidR="008346E7" w:rsidRPr="00AA7AA3">
        <w:rPr>
          <w:rFonts w:ascii="Gill Sans MT" w:eastAsia="Times New Roman" w:hAnsi="Gill Sans MT" w:cstheme="minorHAnsi"/>
          <w:sz w:val="24"/>
          <w:szCs w:val="24"/>
        </w:rPr>
        <w:t xml:space="preserve"> that calls for the Secretaries Board to periodically assess progress by Commonwealth entities.</w:t>
      </w:r>
    </w:p>
    <w:p w14:paraId="43668086" w14:textId="4E96692C" w:rsidR="002E0955" w:rsidRPr="00AA7AA3" w:rsidRDefault="00647623" w:rsidP="00214658">
      <w:pPr>
        <w:spacing w:before="100" w:beforeAutospacing="1" w:after="120"/>
        <w:rPr>
          <w:rFonts w:ascii="Gill Sans MT" w:eastAsia="Times New Roman" w:hAnsi="Gill Sans MT" w:cstheme="minorHAnsi"/>
          <w:sz w:val="24"/>
          <w:szCs w:val="24"/>
        </w:rPr>
      </w:pPr>
      <w:r w:rsidRPr="00AA7AA3">
        <w:rPr>
          <w:rFonts w:ascii="Gill Sans MT" w:eastAsia="Times New Roman" w:hAnsi="Gill Sans MT" w:cstheme="minorHAnsi"/>
          <w:i/>
          <w:sz w:val="24"/>
          <w:szCs w:val="24"/>
        </w:rPr>
        <w:t>Encourage and facilitate partnership models that focus on policy evaluation and research</w:t>
      </w:r>
    </w:p>
    <w:p w14:paraId="325231EE" w14:textId="30C1EB66" w:rsidR="00346913" w:rsidRPr="00AA7AA3" w:rsidRDefault="008346E7" w:rsidP="00214658">
      <w:pPr>
        <w:spacing w:after="100" w:afterAutospacing="1"/>
        <w:rPr>
          <w:rFonts w:ascii="Gill Sans MT" w:eastAsia="Times New Roman" w:hAnsi="Gill Sans MT" w:cstheme="minorHAnsi"/>
          <w:sz w:val="24"/>
          <w:szCs w:val="24"/>
        </w:rPr>
      </w:pPr>
      <w:r w:rsidRPr="00AA7AA3">
        <w:rPr>
          <w:rFonts w:ascii="Gill Sans MT" w:eastAsia="Times New Roman" w:hAnsi="Gill Sans MT" w:cstheme="minorHAnsi"/>
          <w:sz w:val="24"/>
          <w:szCs w:val="24"/>
        </w:rPr>
        <w:t>To enhance shared cross portfolio evaluations and increase evaluation capacity more generally, a</w:t>
      </w:r>
      <w:r w:rsidR="00647623" w:rsidRPr="00AA7AA3">
        <w:rPr>
          <w:rFonts w:ascii="Gill Sans MT" w:eastAsia="Times New Roman" w:hAnsi="Gill Sans MT" w:cstheme="minorHAnsi"/>
          <w:sz w:val="24"/>
          <w:szCs w:val="24"/>
        </w:rPr>
        <w:t>n example of an effective partnership model for policy evaluation-research can be found in the UK’s Centre for the Evaluation of Complexity Across the Nexus (CECAN). Co-funded by research and policy departments (Economic and Social Research Council; Natural Environment Research Council; Department for Environment Food &amp; Rural Affairs; Department for Business, Energy &amp; Industrial Strategy; Food Standards Authority, Environment Agency), CECAN undertakes ‘real-life’ evaluation projects, delivers a program of evaluation methods workshops, training courses in evaluation tools and specialist seminars delivered by international experts, to encourage knowledge sharing and capacity building amongst those working in UK policy making.</w:t>
      </w:r>
      <w:r w:rsidR="003F5088" w:rsidRPr="00AA7AA3">
        <w:rPr>
          <w:rStyle w:val="FootnoteReference"/>
          <w:rFonts w:ascii="Gill Sans MT" w:eastAsia="Times New Roman" w:hAnsi="Gill Sans MT" w:cstheme="minorHAnsi"/>
          <w:sz w:val="24"/>
          <w:szCs w:val="24"/>
        </w:rPr>
        <w:footnoteReference w:id="19"/>
      </w:r>
    </w:p>
    <w:p w14:paraId="47DEA21F" w14:textId="0FEB4456" w:rsidR="00346913" w:rsidRPr="00AA7AA3" w:rsidRDefault="007208A8" w:rsidP="00214658">
      <w:pPr>
        <w:spacing w:before="100" w:beforeAutospacing="1" w:after="120"/>
        <w:rPr>
          <w:rFonts w:ascii="Gill Sans MT" w:eastAsia="Times New Roman" w:hAnsi="Gill Sans MT" w:cstheme="minorHAnsi"/>
          <w:i/>
          <w:sz w:val="24"/>
          <w:szCs w:val="24"/>
        </w:rPr>
      </w:pPr>
      <w:r w:rsidRPr="00AA7AA3">
        <w:rPr>
          <w:rFonts w:ascii="Gill Sans MT" w:eastAsia="Times New Roman" w:hAnsi="Gill Sans MT" w:cstheme="minorHAnsi"/>
          <w:i/>
          <w:sz w:val="24"/>
          <w:szCs w:val="24"/>
        </w:rPr>
        <w:t xml:space="preserve">Introduction of Chief </w:t>
      </w:r>
      <w:r w:rsidR="000E60FA" w:rsidRPr="00AA7AA3">
        <w:rPr>
          <w:rFonts w:ascii="Gill Sans MT" w:eastAsia="Times New Roman" w:hAnsi="Gill Sans MT" w:cstheme="minorHAnsi"/>
          <w:i/>
          <w:sz w:val="24"/>
          <w:szCs w:val="24"/>
        </w:rPr>
        <w:t>Evaluators</w:t>
      </w:r>
    </w:p>
    <w:p w14:paraId="6D2BBDBE" w14:textId="36DB6A93" w:rsidR="00A73DC6" w:rsidRPr="00AA7AA3" w:rsidRDefault="007208A8" w:rsidP="00214658">
      <w:pPr>
        <w:rPr>
          <w:rFonts w:eastAsia="Times New Roman" w:cs="Times New Roman"/>
          <w:color w:val="000000" w:themeColor="text1"/>
        </w:rPr>
      </w:pPr>
      <w:r w:rsidRPr="00AA7AA3">
        <w:rPr>
          <w:rFonts w:ascii="Gill Sans MT" w:eastAsia="Times New Roman" w:hAnsi="Gill Sans MT" w:cstheme="minorHAnsi"/>
          <w:sz w:val="24"/>
          <w:szCs w:val="24"/>
        </w:rPr>
        <w:t xml:space="preserve">The AES </w:t>
      </w:r>
      <w:r w:rsidR="00EF5927">
        <w:rPr>
          <w:rFonts w:ascii="Gill Sans MT" w:eastAsia="Times New Roman" w:hAnsi="Gill Sans MT" w:cstheme="minorHAnsi"/>
          <w:sz w:val="24"/>
          <w:szCs w:val="24"/>
        </w:rPr>
        <w:t>notes</w:t>
      </w:r>
      <w:r w:rsidRPr="00AA7AA3">
        <w:rPr>
          <w:rFonts w:ascii="Gill Sans MT" w:eastAsia="Times New Roman" w:hAnsi="Gill Sans MT" w:cstheme="minorHAnsi"/>
          <w:sz w:val="24"/>
          <w:szCs w:val="24"/>
        </w:rPr>
        <w:t xml:space="preserve"> and supports </w:t>
      </w:r>
      <w:r w:rsidR="001147C6" w:rsidRPr="00AA7AA3">
        <w:rPr>
          <w:rFonts w:ascii="Gill Sans MT" w:eastAsia="Times New Roman" w:hAnsi="Gill Sans MT" w:cstheme="minorHAnsi"/>
          <w:sz w:val="24"/>
          <w:szCs w:val="24"/>
        </w:rPr>
        <w:t xml:space="preserve">Professor Andrew </w:t>
      </w:r>
      <w:proofErr w:type="spellStart"/>
      <w:r w:rsidR="001147C6" w:rsidRPr="00AA7AA3">
        <w:rPr>
          <w:rFonts w:ascii="Gill Sans MT" w:eastAsia="Times New Roman" w:hAnsi="Gill Sans MT" w:cstheme="minorHAnsi"/>
          <w:sz w:val="24"/>
          <w:szCs w:val="24"/>
        </w:rPr>
        <w:t>Podger’s</w:t>
      </w:r>
      <w:proofErr w:type="spellEnd"/>
      <w:r w:rsidR="001147C6" w:rsidRPr="00AA7AA3">
        <w:rPr>
          <w:rFonts w:ascii="Gill Sans MT" w:eastAsia="Times New Roman" w:hAnsi="Gill Sans MT" w:cstheme="minorHAnsi"/>
          <w:sz w:val="24"/>
          <w:szCs w:val="24"/>
        </w:rPr>
        <w:t xml:space="preserve"> suggestion for establishing </w:t>
      </w:r>
      <w:r w:rsidR="00AF7545" w:rsidRPr="00AA7AA3">
        <w:rPr>
          <w:rFonts w:ascii="Gill Sans MT" w:eastAsia="Times New Roman" w:hAnsi="Gill Sans MT" w:cstheme="minorHAnsi"/>
          <w:sz w:val="24"/>
          <w:szCs w:val="24"/>
        </w:rPr>
        <w:t xml:space="preserve">a position of Chief </w:t>
      </w:r>
      <w:r w:rsidR="003525A5" w:rsidRPr="00AA7AA3">
        <w:rPr>
          <w:rFonts w:ascii="Gill Sans MT" w:eastAsia="Times New Roman" w:hAnsi="Gill Sans MT" w:cstheme="minorHAnsi"/>
          <w:sz w:val="24"/>
          <w:szCs w:val="24"/>
        </w:rPr>
        <w:t>Evaluation Officer in each agency</w:t>
      </w:r>
      <w:r w:rsidR="00AF7545" w:rsidRPr="00AA7AA3">
        <w:rPr>
          <w:rFonts w:ascii="Gill Sans MT" w:eastAsia="Times New Roman" w:hAnsi="Gill Sans MT" w:cstheme="minorHAnsi"/>
          <w:sz w:val="24"/>
          <w:szCs w:val="24"/>
        </w:rPr>
        <w:t xml:space="preserve"> in his latest submission to the </w:t>
      </w:r>
      <w:r w:rsidR="00AF7545" w:rsidRPr="00AA7AA3">
        <w:rPr>
          <w:rFonts w:ascii="Gill Sans MT" w:eastAsia="Times New Roman" w:hAnsi="Gill Sans MT" w:cstheme="minorHAnsi"/>
          <w:i/>
          <w:sz w:val="24"/>
          <w:szCs w:val="24"/>
        </w:rPr>
        <w:t>Independent Review of the PGPA Act and Rule</w:t>
      </w:r>
      <w:r w:rsidR="000574C0" w:rsidRPr="00AA7AA3">
        <w:rPr>
          <w:rFonts w:ascii="Gill Sans MT" w:eastAsia="Times New Roman" w:hAnsi="Gill Sans MT" w:cstheme="minorHAnsi"/>
          <w:sz w:val="24"/>
          <w:szCs w:val="24"/>
        </w:rPr>
        <w:t>.</w:t>
      </w:r>
      <w:r w:rsidR="007347CB" w:rsidRPr="00AA7AA3">
        <w:rPr>
          <w:rStyle w:val="FootnoteReference"/>
          <w:rFonts w:ascii="Gill Sans MT" w:eastAsia="Times New Roman" w:hAnsi="Gill Sans MT" w:cstheme="minorHAnsi"/>
          <w:sz w:val="24"/>
          <w:szCs w:val="24"/>
        </w:rPr>
        <w:footnoteReference w:id="20"/>
      </w:r>
      <w:r w:rsidR="000574C0" w:rsidRPr="00AA7AA3">
        <w:rPr>
          <w:rFonts w:ascii="Gill Sans MT" w:eastAsia="Times New Roman" w:hAnsi="Gill Sans MT" w:cstheme="minorHAnsi"/>
          <w:sz w:val="24"/>
          <w:szCs w:val="24"/>
        </w:rPr>
        <w:t xml:space="preserve"> </w:t>
      </w:r>
      <w:r w:rsidR="00A73DC6" w:rsidRPr="00AA7AA3">
        <w:rPr>
          <w:rFonts w:ascii="Gill Sans MT" w:eastAsia="Times New Roman" w:hAnsi="Gill Sans MT" w:cs="Times New Roman"/>
          <w:color w:val="000000" w:themeColor="text1"/>
          <w:sz w:val="24"/>
          <w:szCs w:val="24"/>
          <w:shd w:val="clear" w:color="auto" w:fill="FFFFFF"/>
        </w:rPr>
        <w:t xml:space="preserve">This would be consistent with similar senior management functions (e.g. Chief Operating Officer, Chief Financial Officer and Chief Information Officer) that have emerged to </w:t>
      </w:r>
      <w:r w:rsidR="008A471B" w:rsidRPr="00AA7AA3">
        <w:rPr>
          <w:rFonts w:ascii="Gill Sans MT" w:eastAsia="Times New Roman" w:hAnsi="Gill Sans MT" w:cs="Times New Roman"/>
          <w:color w:val="000000" w:themeColor="text1"/>
          <w:sz w:val="24"/>
          <w:szCs w:val="24"/>
          <w:shd w:val="clear" w:color="auto" w:fill="FFFFFF"/>
        </w:rPr>
        <w:t>support</w:t>
      </w:r>
      <w:r w:rsidR="00A73DC6" w:rsidRPr="00AA7AA3">
        <w:rPr>
          <w:rFonts w:ascii="Gill Sans MT" w:eastAsia="Times New Roman" w:hAnsi="Gill Sans MT" w:cs="Times New Roman"/>
          <w:color w:val="000000" w:themeColor="text1"/>
          <w:sz w:val="24"/>
          <w:szCs w:val="24"/>
          <w:shd w:val="clear" w:color="auto" w:fill="FFFFFF"/>
        </w:rPr>
        <w:t xml:space="preserve"> the agency Secretary</w:t>
      </w:r>
      <w:r w:rsidR="008A471B" w:rsidRPr="00AA7AA3">
        <w:rPr>
          <w:rFonts w:ascii="Gill Sans MT" w:eastAsia="Times New Roman" w:hAnsi="Gill Sans MT" w:cs="Times New Roman"/>
          <w:color w:val="000000" w:themeColor="text1"/>
          <w:sz w:val="24"/>
          <w:szCs w:val="24"/>
          <w:shd w:val="clear" w:color="auto" w:fill="FFFFFF"/>
        </w:rPr>
        <w:t>,</w:t>
      </w:r>
      <w:r w:rsidR="00A73DC6" w:rsidRPr="00AA7AA3">
        <w:rPr>
          <w:rFonts w:ascii="Gill Sans MT" w:eastAsia="Times New Roman" w:hAnsi="Gill Sans MT" w:cs="Times New Roman"/>
          <w:color w:val="000000" w:themeColor="text1"/>
          <w:sz w:val="24"/>
          <w:szCs w:val="24"/>
          <w:shd w:val="clear" w:color="auto" w:fill="FFFFFF"/>
        </w:rPr>
        <w:t xml:space="preserve"> in recognition of the workload and complexities involved in managing a present-day APS department and being effective and responsive to Minister</w:t>
      </w:r>
      <w:r w:rsidR="00934019">
        <w:rPr>
          <w:rFonts w:ascii="Gill Sans MT" w:eastAsia="Times New Roman" w:hAnsi="Gill Sans MT" w:cs="Times New Roman"/>
          <w:color w:val="000000" w:themeColor="text1"/>
          <w:sz w:val="24"/>
          <w:szCs w:val="24"/>
          <w:shd w:val="clear" w:color="auto" w:fill="FFFFFF"/>
        </w:rPr>
        <w:t>s</w:t>
      </w:r>
      <w:r w:rsidR="008A471B" w:rsidRPr="00AA7AA3">
        <w:rPr>
          <w:rFonts w:ascii="Gill Sans MT" w:eastAsia="Times New Roman" w:hAnsi="Gill Sans MT" w:cs="Times New Roman"/>
          <w:color w:val="000000" w:themeColor="text1"/>
          <w:sz w:val="24"/>
          <w:szCs w:val="24"/>
          <w:shd w:val="clear" w:color="auto" w:fill="FFFFFF"/>
        </w:rPr>
        <w:t xml:space="preserve"> and Government</w:t>
      </w:r>
      <w:r w:rsidR="00A73DC6" w:rsidRPr="00AA7AA3">
        <w:rPr>
          <w:rFonts w:ascii="Gill Sans MT" w:eastAsia="Times New Roman" w:hAnsi="Gill Sans MT" w:cs="Times New Roman"/>
          <w:color w:val="000000" w:themeColor="text1"/>
          <w:sz w:val="24"/>
          <w:szCs w:val="24"/>
          <w:shd w:val="clear" w:color="auto" w:fill="FFFFFF"/>
        </w:rPr>
        <w:t>.</w:t>
      </w:r>
    </w:p>
    <w:p w14:paraId="7CFE651F" w14:textId="386E42FA" w:rsidR="009B26C1" w:rsidRPr="00AA7AA3" w:rsidRDefault="00A73DC6" w:rsidP="00214658">
      <w:pPr>
        <w:rPr>
          <w:rFonts w:eastAsia="Times New Roman" w:cs="Times New Roman"/>
          <w:color w:val="000000" w:themeColor="text1"/>
        </w:rPr>
      </w:pPr>
      <w:r w:rsidRPr="00AA7AA3">
        <w:rPr>
          <w:rFonts w:ascii="Gill Sans MT" w:eastAsia="Times New Roman" w:hAnsi="Gill Sans MT" w:cstheme="minorHAnsi"/>
          <w:color w:val="000000" w:themeColor="text1"/>
          <w:sz w:val="24"/>
          <w:szCs w:val="24"/>
        </w:rPr>
        <w:t xml:space="preserve">In larger agencies, these positions are often </w:t>
      </w:r>
      <w:r w:rsidRPr="00AA7AA3">
        <w:rPr>
          <w:rFonts w:ascii="Gill Sans MT" w:eastAsia="Times New Roman" w:hAnsi="Gill Sans MT" w:cs="Times New Roman"/>
          <w:color w:val="000000" w:themeColor="text1"/>
          <w:sz w:val="24"/>
          <w:szCs w:val="24"/>
          <w:shd w:val="clear" w:color="auto" w:fill="FFFFFF"/>
        </w:rPr>
        <w:t>at the current SES Band 3 level</w:t>
      </w:r>
      <w:r w:rsidR="00931F11" w:rsidRPr="00AA7AA3">
        <w:rPr>
          <w:rFonts w:ascii="Gill Sans MT" w:eastAsia="Times New Roman" w:hAnsi="Gill Sans MT" w:cs="Times New Roman"/>
          <w:color w:val="000000" w:themeColor="text1"/>
          <w:sz w:val="24"/>
          <w:szCs w:val="24"/>
          <w:shd w:val="clear" w:color="auto" w:fill="FFFFFF"/>
        </w:rPr>
        <w:t>.</w:t>
      </w:r>
      <w:r w:rsidR="009B26C1" w:rsidRPr="00AA7AA3">
        <w:rPr>
          <w:rFonts w:ascii="Gill Sans MT" w:eastAsia="Times New Roman" w:hAnsi="Gill Sans MT" w:cs="Times New Roman"/>
          <w:color w:val="000000" w:themeColor="text1"/>
          <w:sz w:val="24"/>
          <w:szCs w:val="24"/>
          <w:shd w:val="clear" w:color="auto" w:fill="FFFFFF"/>
        </w:rPr>
        <w:t xml:space="preserve"> </w:t>
      </w:r>
      <w:r w:rsidR="00931F11" w:rsidRPr="00AA7AA3">
        <w:rPr>
          <w:rFonts w:ascii="Gill Sans MT" w:eastAsia="Times New Roman" w:hAnsi="Gill Sans MT" w:cs="Times New Roman"/>
          <w:color w:val="000000" w:themeColor="text1"/>
          <w:sz w:val="24"/>
          <w:szCs w:val="24"/>
          <w:shd w:val="clear" w:color="auto" w:fill="FFFFFF"/>
        </w:rPr>
        <w:t>T</w:t>
      </w:r>
      <w:r w:rsidR="009B26C1" w:rsidRPr="00AA7AA3">
        <w:rPr>
          <w:rFonts w:ascii="Gill Sans MT" w:eastAsia="Times New Roman" w:hAnsi="Gill Sans MT" w:cs="Times New Roman"/>
          <w:color w:val="000000" w:themeColor="text1"/>
          <w:sz w:val="24"/>
          <w:szCs w:val="24"/>
          <w:shd w:val="clear" w:color="auto" w:fill="FFFFFF"/>
        </w:rPr>
        <w:t xml:space="preserve">he </w:t>
      </w:r>
      <w:r w:rsidR="00D57D9D" w:rsidRPr="00AA7AA3">
        <w:rPr>
          <w:rFonts w:ascii="Gill Sans MT" w:eastAsia="Times New Roman" w:hAnsi="Gill Sans MT" w:cs="Times New Roman"/>
          <w:color w:val="000000" w:themeColor="text1"/>
          <w:sz w:val="24"/>
          <w:szCs w:val="24"/>
          <w:shd w:val="clear" w:color="auto" w:fill="FFFFFF"/>
        </w:rPr>
        <w:t xml:space="preserve">AES notes the </w:t>
      </w:r>
      <w:r w:rsidR="009B26C1" w:rsidRPr="00AA7AA3">
        <w:rPr>
          <w:rFonts w:ascii="Gill Sans MT" w:eastAsia="Times New Roman" w:hAnsi="Gill Sans MT" w:cs="Times New Roman"/>
          <w:color w:val="000000" w:themeColor="text1"/>
          <w:sz w:val="24"/>
          <w:szCs w:val="24"/>
          <w:shd w:val="clear" w:color="auto" w:fill="FFFFFF"/>
        </w:rPr>
        <w:t>Department of Innovation, Industry and Science</w:t>
      </w:r>
      <w:r w:rsidR="00931F11" w:rsidRPr="00AA7AA3">
        <w:rPr>
          <w:rFonts w:ascii="Gill Sans MT" w:eastAsia="Times New Roman" w:hAnsi="Gill Sans MT" w:cs="Times New Roman"/>
          <w:color w:val="000000" w:themeColor="text1"/>
          <w:sz w:val="24"/>
          <w:szCs w:val="24"/>
          <w:shd w:val="clear" w:color="auto" w:fill="FFFFFF"/>
        </w:rPr>
        <w:t>’s</w:t>
      </w:r>
      <w:r w:rsidR="009B26C1" w:rsidRPr="00AA7AA3">
        <w:rPr>
          <w:rFonts w:ascii="Gill Sans MT" w:eastAsia="Times New Roman" w:hAnsi="Gill Sans MT" w:cs="Times New Roman"/>
          <w:color w:val="000000" w:themeColor="text1"/>
          <w:sz w:val="24"/>
          <w:szCs w:val="24"/>
          <w:shd w:val="clear" w:color="auto" w:fill="FFFFFF"/>
        </w:rPr>
        <w:t xml:space="preserve"> comprehen</w:t>
      </w:r>
      <w:r w:rsidR="00E53243" w:rsidRPr="00AA7AA3">
        <w:rPr>
          <w:rFonts w:ascii="Gill Sans MT" w:eastAsia="Times New Roman" w:hAnsi="Gill Sans MT" w:cs="Times New Roman"/>
          <w:color w:val="000000" w:themeColor="text1"/>
          <w:sz w:val="24"/>
          <w:szCs w:val="24"/>
          <w:shd w:val="clear" w:color="auto" w:fill="FFFFFF"/>
        </w:rPr>
        <w:t>sive agency Evaluation Strategy</w:t>
      </w:r>
      <w:r w:rsidR="009B26C1" w:rsidRPr="00AA7AA3">
        <w:rPr>
          <w:rFonts w:ascii="Gill Sans MT" w:eastAsia="Times New Roman" w:hAnsi="Gill Sans MT" w:cs="Times New Roman"/>
          <w:color w:val="000000" w:themeColor="text1"/>
          <w:sz w:val="24"/>
          <w:szCs w:val="24"/>
          <w:shd w:val="clear" w:color="auto" w:fill="FFFFFF"/>
        </w:rPr>
        <w:t xml:space="preserve"> </w:t>
      </w:r>
      <w:r w:rsidR="00E53243" w:rsidRPr="00AA7AA3">
        <w:rPr>
          <w:rFonts w:ascii="Gill Sans MT" w:eastAsia="Times New Roman" w:hAnsi="Gill Sans MT" w:cs="Times New Roman"/>
          <w:color w:val="000000" w:themeColor="text1"/>
          <w:sz w:val="24"/>
          <w:szCs w:val="24"/>
          <w:shd w:val="clear" w:color="auto" w:fill="FFFFFF"/>
        </w:rPr>
        <w:t>w</w:t>
      </w:r>
      <w:r w:rsidR="00931F11" w:rsidRPr="00AA7AA3">
        <w:rPr>
          <w:rFonts w:ascii="Gill Sans MT" w:eastAsia="Times New Roman" w:hAnsi="Gill Sans MT" w:cs="Times New Roman"/>
          <w:color w:val="000000" w:themeColor="text1"/>
          <w:sz w:val="24"/>
          <w:szCs w:val="24"/>
          <w:shd w:val="clear" w:color="auto" w:fill="FFFFFF"/>
        </w:rPr>
        <w:t xml:space="preserve">as created </w:t>
      </w:r>
      <w:r w:rsidR="009B26C1" w:rsidRPr="00AA7AA3">
        <w:rPr>
          <w:rFonts w:ascii="Gill Sans MT" w:eastAsia="Times New Roman" w:hAnsi="Gill Sans MT" w:cs="Times New Roman"/>
          <w:color w:val="000000" w:themeColor="text1"/>
          <w:sz w:val="24"/>
          <w:szCs w:val="24"/>
          <w:shd w:val="clear" w:color="auto" w:fill="FFFFFF"/>
        </w:rPr>
        <w:t xml:space="preserve">under the responsibilities of its </w:t>
      </w:r>
      <w:r w:rsidR="00931F11" w:rsidRPr="00AA7AA3">
        <w:rPr>
          <w:rFonts w:ascii="Gill Sans MT" w:eastAsia="Times New Roman" w:hAnsi="Gill Sans MT" w:cs="Times New Roman"/>
          <w:color w:val="000000" w:themeColor="text1"/>
          <w:sz w:val="24"/>
          <w:szCs w:val="24"/>
          <w:shd w:val="clear" w:color="auto" w:fill="FFFFFF"/>
        </w:rPr>
        <w:t xml:space="preserve">Band 3 </w:t>
      </w:r>
      <w:r w:rsidR="009B26C1" w:rsidRPr="00AA7AA3">
        <w:rPr>
          <w:rFonts w:ascii="Gill Sans MT" w:eastAsia="Times New Roman" w:hAnsi="Gill Sans MT" w:cs="Times New Roman"/>
          <w:color w:val="000000" w:themeColor="text1"/>
          <w:sz w:val="24"/>
          <w:szCs w:val="24"/>
          <w:shd w:val="clear" w:color="auto" w:fill="FFFFFF"/>
        </w:rPr>
        <w:t>Chief Economist</w:t>
      </w:r>
      <w:r w:rsidR="00E53243" w:rsidRPr="00AA7AA3">
        <w:rPr>
          <w:rFonts w:ascii="Gill Sans MT" w:eastAsia="Times New Roman" w:hAnsi="Gill Sans MT" w:cs="Times New Roman"/>
          <w:color w:val="000000" w:themeColor="text1"/>
          <w:sz w:val="24"/>
          <w:szCs w:val="24"/>
          <w:shd w:val="clear" w:color="auto" w:fill="FFFFFF"/>
        </w:rPr>
        <w:t xml:space="preserve">. Similarly, </w:t>
      </w:r>
      <w:r w:rsidR="009247CD" w:rsidRPr="00AA7AA3">
        <w:rPr>
          <w:rFonts w:ascii="Gill Sans MT" w:eastAsia="Times New Roman" w:hAnsi="Gill Sans MT" w:cs="Times New Roman"/>
          <w:color w:val="000000" w:themeColor="text1"/>
          <w:sz w:val="24"/>
          <w:szCs w:val="24"/>
          <w:shd w:val="clear" w:color="auto" w:fill="FFFFFF"/>
        </w:rPr>
        <w:t>the Agriculture Division head</w:t>
      </w:r>
      <w:r w:rsidR="00E53243" w:rsidRPr="00AA7AA3">
        <w:rPr>
          <w:rFonts w:ascii="Gill Sans MT" w:eastAsia="Times New Roman" w:hAnsi="Gill Sans MT" w:cs="Times New Roman"/>
          <w:color w:val="000000" w:themeColor="text1"/>
          <w:sz w:val="24"/>
          <w:szCs w:val="24"/>
          <w:shd w:val="clear" w:color="auto" w:fill="FFFFFF"/>
        </w:rPr>
        <w:t xml:space="preserve"> led an increase in the performance measurement capability</w:t>
      </w:r>
      <w:r w:rsidR="009247CD" w:rsidRPr="00AA7AA3">
        <w:rPr>
          <w:rFonts w:ascii="Gill Sans MT" w:eastAsia="Times New Roman" w:hAnsi="Gill Sans MT" w:cs="Times New Roman"/>
          <w:color w:val="000000" w:themeColor="text1"/>
          <w:sz w:val="24"/>
          <w:szCs w:val="24"/>
          <w:shd w:val="clear" w:color="auto" w:fill="FFFFFF"/>
        </w:rPr>
        <w:t xml:space="preserve"> within that area</w:t>
      </w:r>
      <w:r w:rsidR="00E53243" w:rsidRPr="00AA7AA3">
        <w:rPr>
          <w:rFonts w:ascii="Gill Sans MT" w:eastAsia="Times New Roman" w:hAnsi="Gill Sans MT" w:cs="Times New Roman"/>
          <w:color w:val="000000" w:themeColor="text1"/>
          <w:sz w:val="24"/>
          <w:szCs w:val="24"/>
          <w:shd w:val="clear" w:color="auto" w:fill="FFFFFF"/>
        </w:rPr>
        <w:t xml:space="preserve"> of the </w:t>
      </w:r>
      <w:r w:rsidR="009247CD" w:rsidRPr="00AA7AA3">
        <w:rPr>
          <w:rFonts w:ascii="Gill Sans MT" w:eastAsia="Times New Roman" w:hAnsi="Gill Sans MT" w:cs="Times New Roman"/>
          <w:color w:val="000000" w:themeColor="text1"/>
          <w:sz w:val="24"/>
          <w:szCs w:val="24"/>
          <w:shd w:val="clear" w:color="auto" w:fill="FFFFFF"/>
        </w:rPr>
        <w:t>then</w:t>
      </w:r>
      <w:r w:rsidR="00E53243" w:rsidRPr="00AA7AA3">
        <w:rPr>
          <w:rFonts w:ascii="Gill Sans MT" w:eastAsia="Times New Roman" w:hAnsi="Gill Sans MT" w:cs="Times New Roman"/>
          <w:color w:val="000000" w:themeColor="text1"/>
          <w:sz w:val="24"/>
          <w:szCs w:val="24"/>
          <w:shd w:val="clear" w:color="auto" w:fill="FFFFFF"/>
        </w:rPr>
        <w:t xml:space="preserve"> Department of </w:t>
      </w:r>
      <w:r w:rsidR="009247CD" w:rsidRPr="00AA7AA3">
        <w:rPr>
          <w:rFonts w:ascii="Gill Sans MT" w:eastAsia="Times New Roman" w:hAnsi="Gill Sans MT" w:cs="Times New Roman"/>
          <w:color w:val="000000" w:themeColor="text1"/>
          <w:sz w:val="24"/>
          <w:szCs w:val="24"/>
          <w:shd w:val="clear" w:color="auto" w:fill="FFFFFF"/>
        </w:rPr>
        <w:t>Natural Resources and Environment</w:t>
      </w:r>
      <w:r w:rsidR="00E53243" w:rsidRPr="00AA7AA3">
        <w:rPr>
          <w:rFonts w:ascii="Gill Sans MT" w:eastAsia="Times New Roman" w:hAnsi="Gill Sans MT" w:cs="Times New Roman"/>
          <w:color w:val="000000" w:themeColor="text1"/>
          <w:sz w:val="24"/>
          <w:szCs w:val="24"/>
          <w:shd w:val="clear" w:color="auto" w:fill="FFFFFF"/>
        </w:rPr>
        <w:t xml:space="preserve"> in</w:t>
      </w:r>
      <w:r w:rsidR="009247CD" w:rsidRPr="00AA7AA3">
        <w:rPr>
          <w:rFonts w:ascii="Gill Sans MT" w:eastAsia="Times New Roman" w:hAnsi="Gill Sans MT" w:cs="Times New Roman"/>
          <w:color w:val="000000" w:themeColor="text1"/>
          <w:sz w:val="24"/>
          <w:szCs w:val="24"/>
          <w:shd w:val="clear" w:color="auto" w:fill="FFFFFF"/>
        </w:rPr>
        <w:t xml:space="preserve"> Victoria during the late 1990’</w:t>
      </w:r>
      <w:r w:rsidR="00E53243" w:rsidRPr="00AA7AA3">
        <w:rPr>
          <w:rFonts w:ascii="Gill Sans MT" w:eastAsia="Times New Roman" w:hAnsi="Gill Sans MT" w:cs="Times New Roman"/>
          <w:color w:val="000000" w:themeColor="text1"/>
          <w:sz w:val="24"/>
          <w:szCs w:val="24"/>
          <w:shd w:val="clear" w:color="auto" w:fill="FFFFFF"/>
        </w:rPr>
        <w:t>s/early 2000’s</w:t>
      </w:r>
      <w:r w:rsidR="009B26C1" w:rsidRPr="00AA7AA3">
        <w:rPr>
          <w:rFonts w:ascii="Calibri" w:eastAsia="Times New Roman" w:hAnsi="Calibri" w:cs="Times New Roman"/>
          <w:iCs/>
          <w:color w:val="000000" w:themeColor="text1"/>
        </w:rPr>
        <w:t>.</w:t>
      </w:r>
      <w:r w:rsidR="009B26C1" w:rsidRPr="00AA7AA3">
        <w:rPr>
          <w:rStyle w:val="FootnoteReference"/>
          <w:rFonts w:ascii="Calibri" w:eastAsia="Times New Roman" w:hAnsi="Calibri" w:cs="Times New Roman"/>
          <w:iCs/>
          <w:color w:val="000000" w:themeColor="text1"/>
        </w:rPr>
        <w:footnoteReference w:id="21"/>
      </w:r>
      <w:r w:rsidR="00E53243" w:rsidRPr="00AA7AA3">
        <w:rPr>
          <w:rStyle w:val="FootnoteReference"/>
          <w:rFonts w:ascii="Calibri" w:eastAsia="Times New Roman" w:hAnsi="Calibri" w:cs="Times New Roman"/>
          <w:iCs/>
          <w:color w:val="000000" w:themeColor="text1"/>
        </w:rPr>
        <w:footnoteReference w:id="22"/>
      </w:r>
    </w:p>
    <w:p w14:paraId="39972AAB" w14:textId="4BE5300B" w:rsidR="00AB7704" w:rsidRPr="00AA7AA3" w:rsidRDefault="000574C0" w:rsidP="00214658">
      <w:pPr>
        <w:spacing w:after="100" w:afterAutospacing="1"/>
        <w:rPr>
          <w:rFonts w:ascii="Gill Sans MT" w:eastAsia="Times New Roman" w:hAnsi="Gill Sans MT" w:cstheme="minorHAnsi"/>
          <w:sz w:val="24"/>
          <w:szCs w:val="24"/>
        </w:rPr>
      </w:pPr>
      <w:r w:rsidRPr="00AA7AA3">
        <w:rPr>
          <w:rFonts w:ascii="Gill Sans MT" w:eastAsia="Times New Roman" w:hAnsi="Gill Sans MT" w:cstheme="minorHAnsi"/>
          <w:sz w:val="24"/>
          <w:szCs w:val="24"/>
        </w:rPr>
        <w:lastRenderedPageBreak/>
        <w:t xml:space="preserve">The AES would suggest that such a position should be at least at the </w:t>
      </w:r>
      <w:r w:rsidR="008346E7" w:rsidRPr="00AA7AA3">
        <w:rPr>
          <w:rFonts w:ascii="Gill Sans MT" w:eastAsia="Times New Roman" w:hAnsi="Gill Sans MT" w:cstheme="minorHAnsi"/>
          <w:sz w:val="24"/>
          <w:szCs w:val="24"/>
        </w:rPr>
        <w:t xml:space="preserve">SES </w:t>
      </w:r>
      <w:r w:rsidRPr="00AA7AA3">
        <w:rPr>
          <w:rFonts w:ascii="Gill Sans MT" w:eastAsia="Times New Roman" w:hAnsi="Gill Sans MT" w:cstheme="minorHAnsi"/>
          <w:sz w:val="24"/>
          <w:szCs w:val="24"/>
        </w:rPr>
        <w:t>Band</w:t>
      </w:r>
      <w:r w:rsidR="00923649">
        <w:rPr>
          <w:rFonts w:ascii="Gill Sans MT" w:eastAsia="Times New Roman" w:hAnsi="Gill Sans MT" w:cstheme="minorHAnsi"/>
          <w:sz w:val="24"/>
          <w:szCs w:val="24"/>
        </w:rPr>
        <w:t xml:space="preserve"> 1</w:t>
      </w:r>
      <w:r w:rsidRPr="00AA7AA3">
        <w:rPr>
          <w:rFonts w:ascii="Gill Sans MT" w:eastAsia="Times New Roman" w:hAnsi="Gill Sans MT" w:cstheme="minorHAnsi"/>
          <w:sz w:val="24"/>
          <w:szCs w:val="24"/>
        </w:rPr>
        <w:t xml:space="preserve"> level</w:t>
      </w:r>
      <w:r w:rsidR="00B572CD" w:rsidRPr="00AA7AA3">
        <w:rPr>
          <w:rFonts w:ascii="Gill Sans MT" w:eastAsia="Times New Roman" w:hAnsi="Gill Sans MT" w:cstheme="minorHAnsi"/>
          <w:sz w:val="24"/>
          <w:szCs w:val="24"/>
        </w:rPr>
        <w:t xml:space="preserve"> for smaller entities and higher in larger ones</w:t>
      </w:r>
      <w:r w:rsidRPr="00AA7AA3">
        <w:rPr>
          <w:rFonts w:ascii="Gill Sans MT" w:eastAsia="Times New Roman" w:hAnsi="Gill Sans MT" w:cstheme="minorHAnsi"/>
          <w:sz w:val="24"/>
          <w:szCs w:val="24"/>
        </w:rPr>
        <w:t xml:space="preserve">, </w:t>
      </w:r>
      <w:r w:rsidR="000E60FA" w:rsidRPr="00AA7AA3">
        <w:rPr>
          <w:rFonts w:ascii="Gill Sans MT" w:eastAsia="Times New Roman" w:hAnsi="Gill Sans MT" w:cstheme="minorHAnsi"/>
          <w:sz w:val="24"/>
          <w:szCs w:val="24"/>
        </w:rPr>
        <w:t>for</w:t>
      </w:r>
      <w:r w:rsidRPr="00AA7AA3">
        <w:rPr>
          <w:rFonts w:ascii="Gill Sans MT" w:eastAsia="Times New Roman" w:hAnsi="Gill Sans MT" w:cstheme="minorHAnsi"/>
          <w:sz w:val="24"/>
          <w:szCs w:val="24"/>
        </w:rPr>
        <w:t xml:space="preserve"> sufficient influence and authority. </w:t>
      </w:r>
    </w:p>
    <w:p w14:paraId="69A5DB74" w14:textId="557AC2B5" w:rsidR="00B25BF0" w:rsidRPr="00AA7AA3" w:rsidRDefault="001E37CC" w:rsidP="00214658">
      <w:pPr>
        <w:keepNext/>
        <w:spacing w:before="100" w:beforeAutospacing="1" w:after="120"/>
        <w:rPr>
          <w:rFonts w:ascii="Gill Sans MT" w:eastAsia="Times New Roman" w:hAnsi="Gill Sans MT" w:cstheme="minorHAnsi"/>
          <w:i/>
          <w:sz w:val="24"/>
          <w:szCs w:val="24"/>
        </w:rPr>
      </w:pPr>
      <w:r w:rsidRPr="00AA7AA3">
        <w:rPr>
          <w:rFonts w:ascii="Gill Sans MT" w:eastAsia="Times New Roman" w:hAnsi="Gill Sans MT" w:cstheme="minorHAnsi"/>
          <w:i/>
          <w:sz w:val="24"/>
          <w:szCs w:val="24"/>
        </w:rPr>
        <w:t xml:space="preserve">Introduction of an </w:t>
      </w:r>
      <w:r w:rsidR="00B25BF0" w:rsidRPr="00AA7AA3">
        <w:rPr>
          <w:rFonts w:ascii="Gill Sans MT" w:eastAsia="Times New Roman" w:hAnsi="Gill Sans MT" w:cstheme="minorHAnsi"/>
          <w:i/>
          <w:sz w:val="24"/>
          <w:szCs w:val="24"/>
        </w:rPr>
        <w:t xml:space="preserve">Evaluator-General </w:t>
      </w:r>
    </w:p>
    <w:p w14:paraId="1E595F05" w14:textId="1BA71C6E" w:rsidR="00C75B7A" w:rsidRPr="00AA7AA3" w:rsidRDefault="00EE579D" w:rsidP="00214658">
      <w:pPr>
        <w:keepNext/>
        <w:rPr>
          <w:rFonts w:ascii="Gill Sans MT" w:hAnsi="Gill Sans MT" w:cstheme="minorHAnsi"/>
          <w:sz w:val="24"/>
          <w:szCs w:val="24"/>
        </w:rPr>
      </w:pPr>
      <w:r w:rsidRPr="00AA7AA3">
        <w:rPr>
          <w:rFonts w:ascii="Gill Sans MT" w:hAnsi="Gill Sans MT" w:cstheme="minorHAnsi"/>
          <w:sz w:val="24"/>
          <w:szCs w:val="24"/>
        </w:rPr>
        <w:t>The difficult</w:t>
      </w:r>
      <w:r w:rsidR="000725DF" w:rsidRPr="00AA7AA3">
        <w:rPr>
          <w:rFonts w:ascii="Gill Sans MT" w:hAnsi="Gill Sans MT" w:cstheme="minorHAnsi"/>
          <w:sz w:val="24"/>
          <w:szCs w:val="24"/>
        </w:rPr>
        <w:t>y</w:t>
      </w:r>
      <w:r w:rsidRPr="00AA7AA3">
        <w:rPr>
          <w:rFonts w:ascii="Gill Sans MT" w:hAnsi="Gill Sans MT" w:cstheme="minorHAnsi"/>
          <w:sz w:val="24"/>
          <w:szCs w:val="24"/>
        </w:rPr>
        <w:t xml:space="preserve"> of assessing the non-financial performance of government policies and programs should not be underestimated. </w:t>
      </w:r>
      <w:r w:rsidR="004C74FF" w:rsidRPr="00AA7AA3">
        <w:rPr>
          <w:rFonts w:ascii="Gill Sans MT" w:hAnsi="Gill Sans MT" w:cstheme="minorHAnsi"/>
          <w:sz w:val="24"/>
          <w:szCs w:val="24"/>
        </w:rPr>
        <w:t>In additio</w:t>
      </w:r>
      <w:r w:rsidR="00DC6B3D" w:rsidRPr="00AA7AA3">
        <w:rPr>
          <w:rFonts w:ascii="Gill Sans MT" w:hAnsi="Gill Sans MT" w:cstheme="minorHAnsi"/>
          <w:sz w:val="24"/>
          <w:szCs w:val="24"/>
        </w:rPr>
        <w:t>n to the above options, the AES</w:t>
      </w:r>
      <w:r w:rsidR="004C74FF" w:rsidRPr="00AA7AA3">
        <w:rPr>
          <w:rFonts w:ascii="Gill Sans MT" w:hAnsi="Gill Sans MT" w:cstheme="minorHAnsi"/>
          <w:sz w:val="24"/>
          <w:szCs w:val="24"/>
        </w:rPr>
        <w:t xml:space="preserve"> also support</w:t>
      </w:r>
      <w:r w:rsidR="00DC6B3D" w:rsidRPr="00AA7AA3">
        <w:rPr>
          <w:rFonts w:ascii="Gill Sans MT" w:hAnsi="Gill Sans MT" w:cstheme="minorHAnsi"/>
          <w:sz w:val="24"/>
          <w:szCs w:val="24"/>
        </w:rPr>
        <w:t>s</w:t>
      </w:r>
      <w:r w:rsidR="004C74FF" w:rsidRPr="00AA7AA3">
        <w:rPr>
          <w:rFonts w:ascii="Gill Sans MT" w:hAnsi="Gill Sans MT" w:cstheme="minorHAnsi"/>
          <w:sz w:val="24"/>
          <w:szCs w:val="24"/>
        </w:rPr>
        <w:t xml:space="preserve"> </w:t>
      </w:r>
      <w:r w:rsidR="000408EF" w:rsidRPr="00AA7AA3">
        <w:rPr>
          <w:rFonts w:ascii="Gill Sans MT" w:hAnsi="Gill Sans MT" w:cstheme="minorHAnsi"/>
          <w:sz w:val="24"/>
          <w:szCs w:val="24"/>
        </w:rPr>
        <w:t xml:space="preserve">in principle </w:t>
      </w:r>
      <w:r w:rsidR="004F6E2E" w:rsidRPr="00AA7AA3">
        <w:rPr>
          <w:rFonts w:ascii="Gill Sans MT" w:hAnsi="Gill Sans MT" w:cstheme="minorHAnsi"/>
          <w:sz w:val="24"/>
          <w:szCs w:val="24"/>
        </w:rPr>
        <w:t xml:space="preserve">the concept </w:t>
      </w:r>
      <w:r w:rsidR="00D60D32" w:rsidRPr="00AA7AA3">
        <w:rPr>
          <w:rFonts w:ascii="Gill Sans MT" w:hAnsi="Gill Sans MT" w:cstheme="minorHAnsi"/>
          <w:sz w:val="24"/>
          <w:szCs w:val="24"/>
        </w:rPr>
        <w:t xml:space="preserve">proposed by </w:t>
      </w:r>
      <w:r w:rsidR="004C74FF" w:rsidRPr="00AA7AA3">
        <w:rPr>
          <w:rFonts w:ascii="Gill Sans MT" w:hAnsi="Gill Sans MT" w:cstheme="minorHAnsi"/>
          <w:sz w:val="24"/>
          <w:szCs w:val="24"/>
        </w:rPr>
        <w:t>Dr Nicholas Gruen for the introduction of an institutional</w:t>
      </w:r>
      <w:r w:rsidR="00E31BD4" w:rsidRPr="00AA7AA3">
        <w:rPr>
          <w:rFonts w:ascii="Gill Sans MT" w:hAnsi="Gill Sans MT" w:cstheme="minorHAnsi"/>
          <w:sz w:val="24"/>
          <w:szCs w:val="24"/>
        </w:rPr>
        <w:t>-ba</w:t>
      </w:r>
      <w:r w:rsidRPr="00AA7AA3">
        <w:rPr>
          <w:rFonts w:ascii="Gill Sans MT" w:hAnsi="Gill Sans MT" w:cstheme="minorHAnsi"/>
          <w:sz w:val="24"/>
          <w:szCs w:val="24"/>
        </w:rPr>
        <w:t>s</w:t>
      </w:r>
      <w:r w:rsidR="00E31BD4" w:rsidRPr="00AA7AA3">
        <w:rPr>
          <w:rFonts w:ascii="Gill Sans MT" w:hAnsi="Gill Sans MT" w:cstheme="minorHAnsi"/>
          <w:sz w:val="24"/>
          <w:szCs w:val="24"/>
        </w:rPr>
        <w:t xml:space="preserve">ed strategy, </w:t>
      </w:r>
      <w:r w:rsidRPr="00AA7AA3">
        <w:rPr>
          <w:rFonts w:ascii="Gill Sans MT" w:hAnsi="Gill Sans MT" w:cstheme="minorHAnsi"/>
          <w:sz w:val="24"/>
          <w:szCs w:val="24"/>
        </w:rPr>
        <w:t xml:space="preserve">an Office of the Evaluator-General, as an independent office to meet the performance information needs of Parliament by building evaluation capital across government entities and ensuring that evaluation and performance reporting are </w:t>
      </w:r>
      <w:r w:rsidR="005469B9" w:rsidRPr="00AA7AA3">
        <w:rPr>
          <w:rFonts w:ascii="Gill Sans MT" w:hAnsi="Gill Sans MT" w:cstheme="minorHAnsi"/>
          <w:sz w:val="24"/>
          <w:szCs w:val="24"/>
        </w:rPr>
        <w:t>effectively undertaken</w:t>
      </w:r>
      <w:r w:rsidRPr="00AA7AA3">
        <w:rPr>
          <w:rFonts w:ascii="Gill Sans MT" w:hAnsi="Gill Sans MT" w:cstheme="minorHAnsi"/>
          <w:sz w:val="24"/>
          <w:szCs w:val="24"/>
        </w:rPr>
        <w:t>.</w:t>
      </w:r>
      <w:r w:rsidR="00DE70E3" w:rsidRPr="00AA7AA3">
        <w:rPr>
          <w:rStyle w:val="FootnoteReference"/>
          <w:rFonts w:ascii="Gill Sans MT" w:hAnsi="Gill Sans MT" w:cstheme="minorHAnsi"/>
          <w:sz w:val="24"/>
          <w:szCs w:val="24"/>
        </w:rPr>
        <w:footnoteReference w:id="23"/>
      </w:r>
      <w:r w:rsidRPr="00AA7AA3">
        <w:rPr>
          <w:rFonts w:ascii="Gill Sans MT" w:hAnsi="Gill Sans MT" w:cstheme="minorHAnsi"/>
          <w:sz w:val="24"/>
          <w:szCs w:val="24"/>
        </w:rPr>
        <w:t xml:space="preserve"> </w:t>
      </w:r>
      <w:r w:rsidR="00B51D2A" w:rsidRPr="00AA7AA3">
        <w:rPr>
          <w:rFonts w:ascii="Gill Sans MT" w:hAnsi="Gill Sans MT" w:cstheme="minorHAnsi"/>
          <w:sz w:val="24"/>
          <w:szCs w:val="24"/>
        </w:rPr>
        <w:t xml:space="preserve">Dr Gruen proposes that </w:t>
      </w:r>
      <w:r w:rsidR="004608C3" w:rsidRPr="00AA7AA3">
        <w:rPr>
          <w:rFonts w:ascii="Gill Sans MT" w:hAnsi="Gill Sans MT" w:cstheme="minorHAnsi"/>
          <w:sz w:val="24"/>
          <w:szCs w:val="24"/>
        </w:rPr>
        <w:t xml:space="preserve">its </w:t>
      </w:r>
      <w:r w:rsidR="00C75B7A" w:rsidRPr="00AA7AA3">
        <w:rPr>
          <w:rFonts w:ascii="Gill Sans MT" w:hAnsi="Gill Sans MT" w:cstheme="minorHAnsi"/>
          <w:sz w:val="24"/>
          <w:szCs w:val="24"/>
        </w:rPr>
        <w:t>characteristics</w:t>
      </w:r>
      <w:r w:rsidR="001B2ED3" w:rsidRPr="00AA7AA3">
        <w:rPr>
          <w:rFonts w:ascii="Gill Sans MT" w:hAnsi="Gill Sans MT" w:cstheme="minorHAnsi"/>
          <w:sz w:val="24"/>
          <w:szCs w:val="24"/>
        </w:rPr>
        <w:t xml:space="preserve"> would include</w:t>
      </w:r>
      <w:r w:rsidR="00C75B7A" w:rsidRPr="00AA7AA3">
        <w:rPr>
          <w:rFonts w:ascii="Gill Sans MT" w:hAnsi="Gill Sans MT" w:cstheme="minorHAnsi"/>
          <w:sz w:val="24"/>
          <w:szCs w:val="24"/>
        </w:rPr>
        <w:t>: </w:t>
      </w:r>
    </w:p>
    <w:p w14:paraId="3113E0E4" w14:textId="51F9EA16" w:rsidR="0010010B" w:rsidRPr="00AA7AA3" w:rsidRDefault="005E7A7E" w:rsidP="003524BE">
      <w:pPr>
        <w:pStyle w:val="ListParagraph"/>
        <w:numPr>
          <w:ilvl w:val="0"/>
          <w:numId w:val="5"/>
        </w:numPr>
        <w:spacing w:before="100" w:beforeAutospacing="1" w:after="120"/>
        <w:ind w:left="714" w:hanging="357"/>
        <w:contextualSpacing w:val="0"/>
        <w:rPr>
          <w:rFonts w:ascii="Gill Sans MT" w:hAnsi="Gill Sans MT" w:cstheme="minorHAnsi"/>
          <w:sz w:val="24"/>
          <w:szCs w:val="24"/>
        </w:rPr>
      </w:pPr>
      <w:r w:rsidRPr="00AA7AA3">
        <w:rPr>
          <w:rFonts w:ascii="Gill Sans MT" w:hAnsi="Gill Sans MT" w:cstheme="minorHAnsi"/>
          <w:sz w:val="24"/>
          <w:szCs w:val="24"/>
        </w:rPr>
        <w:t>being</w:t>
      </w:r>
      <w:r w:rsidR="00F8096A" w:rsidRPr="00AA7AA3">
        <w:rPr>
          <w:rFonts w:ascii="Gill Sans MT" w:hAnsi="Gill Sans MT" w:cstheme="minorHAnsi"/>
          <w:sz w:val="24"/>
          <w:szCs w:val="24"/>
        </w:rPr>
        <w:t xml:space="preserve"> part of the ‘independent executive</w:t>
      </w:r>
      <w:r w:rsidR="00525D87" w:rsidRPr="00AA7AA3">
        <w:rPr>
          <w:rFonts w:ascii="Gill Sans MT" w:hAnsi="Gill Sans MT" w:cstheme="minorHAnsi"/>
          <w:sz w:val="24"/>
          <w:szCs w:val="24"/>
        </w:rPr>
        <w:t>’</w:t>
      </w:r>
      <w:r w:rsidR="00F8096A" w:rsidRPr="00AA7AA3">
        <w:rPr>
          <w:rFonts w:ascii="Gill Sans MT" w:hAnsi="Gill Sans MT" w:cstheme="minorHAnsi"/>
          <w:sz w:val="24"/>
          <w:szCs w:val="24"/>
        </w:rPr>
        <w:t xml:space="preserve"> – i.e. </w:t>
      </w:r>
      <w:r w:rsidR="00AF4A72" w:rsidRPr="00AA7AA3">
        <w:rPr>
          <w:rFonts w:ascii="Gill Sans MT" w:hAnsi="Gill Sans MT" w:cstheme="minorHAnsi"/>
          <w:sz w:val="24"/>
          <w:szCs w:val="24"/>
        </w:rPr>
        <w:t>Auditor-General, Productivity Commission</w:t>
      </w:r>
    </w:p>
    <w:p w14:paraId="47D1AF08" w14:textId="05AC0CA0" w:rsidR="00D52922" w:rsidRPr="00AA7AA3" w:rsidRDefault="00D52922" w:rsidP="003524BE">
      <w:pPr>
        <w:pStyle w:val="ListParagraph"/>
        <w:numPr>
          <w:ilvl w:val="0"/>
          <w:numId w:val="5"/>
        </w:numPr>
        <w:spacing w:before="100" w:beforeAutospacing="1" w:after="120"/>
        <w:ind w:left="714" w:hanging="357"/>
        <w:contextualSpacing w:val="0"/>
        <w:rPr>
          <w:rFonts w:ascii="Gill Sans MT" w:hAnsi="Gill Sans MT" w:cstheme="minorHAnsi"/>
          <w:sz w:val="24"/>
          <w:szCs w:val="24"/>
        </w:rPr>
      </w:pPr>
      <w:r w:rsidRPr="00AA7AA3">
        <w:rPr>
          <w:rFonts w:ascii="Gill Sans MT" w:hAnsi="Gill Sans MT" w:cstheme="minorHAnsi"/>
          <w:sz w:val="24"/>
          <w:szCs w:val="24"/>
        </w:rPr>
        <w:t>provid</w:t>
      </w:r>
      <w:r w:rsidR="005E7A7E" w:rsidRPr="00AA7AA3">
        <w:rPr>
          <w:rFonts w:ascii="Gill Sans MT" w:hAnsi="Gill Sans MT" w:cstheme="minorHAnsi"/>
          <w:sz w:val="24"/>
          <w:szCs w:val="24"/>
        </w:rPr>
        <w:t>in</w:t>
      </w:r>
      <w:r w:rsidR="005A0913" w:rsidRPr="00AA7AA3">
        <w:rPr>
          <w:rFonts w:ascii="Gill Sans MT" w:hAnsi="Gill Sans MT" w:cstheme="minorHAnsi"/>
          <w:sz w:val="24"/>
          <w:szCs w:val="24"/>
        </w:rPr>
        <w:t>g</w:t>
      </w:r>
      <w:r w:rsidRPr="00AA7AA3">
        <w:rPr>
          <w:rFonts w:ascii="Gill Sans MT" w:hAnsi="Gill Sans MT" w:cstheme="minorHAnsi"/>
          <w:sz w:val="24"/>
          <w:szCs w:val="24"/>
        </w:rPr>
        <w:t xml:space="preserve"> resources and institutional support for a level of evaluation expertise to be cultivated within the public sector with clear career pathways through evaluation to the highest levels of the public service</w:t>
      </w:r>
    </w:p>
    <w:p w14:paraId="5A45EB8F" w14:textId="2F4848D1" w:rsidR="00D52922" w:rsidRPr="00AA7AA3" w:rsidRDefault="00D52922" w:rsidP="003524BE">
      <w:pPr>
        <w:pStyle w:val="ListParagraph"/>
        <w:numPr>
          <w:ilvl w:val="0"/>
          <w:numId w:val="5"/>
        </w:numPr>
        <w:spacing w:before="100" w:beforeAutospacing="1" w:after="120"/>
        <w:ind w:left="714" w:hanging="357"/>
        <w:contextualSpacing w:val="0"/>
        <w:rPr>
          <w:rFonts w:ascii="Gill Sans MT" w:hAnsi="Gill Sans MT" w:cstheme="minorHAnsi"/>
          <w:sz w:val="24"/>
          <w:szCs w:val="24"/>
        </w:rPr>
      </w:pPr>
      <w:r w:rsidRPr="00AA7AA3">
        <w:rPr>
          <w:rFonts w:ascii="Gill Sans MT" w:hAnsi="Gill Sans MT" w:cstheme="minorHAnsi"/>
          <w:sz w:val="24"/>
          <w:szCs w:val="24"/>
        </w:rPr>
        <w:t xml:space="preserve">monitoring and evaluation would be designed and operated in the field by officers of the Evaluator-General, in collaboration with the responsible department/agency </w:t>
      </w:r>
    </w:p>
    <w:p w14:paraId="211F221F" w14:textId="5E1B745F" w:rsidR="00AF576F" w:rsidRPr="00AA7AA3" w:rsidRDefault="00D52922" w:rsidP="003524BE">
      <w:pPr>
        <w:pStyle w:val="ListParagraph"/>
        <w:numPr>
          <w:ilvl w:val="0"/>
          <w:numId w:val="5"/>
        </w:numPr>
        <w:spacing w:before="100" w:beforeAutospacing="1" w:after="120"/>
        <w:ind w:left="714" w:hanging="357"/>
        <w:contextualSpacing w:val="0"/>
        <w:rPr>
          <w:rFonts w:ascii="Gill Sans MT" w:hAnsi="Gill Sans MT" w:cstheme="minorHAnsi"/>
          <w:sz w:val="24"/>
          <w:szCs w:val="24"/>
        </w:rPr>
      </w:pPr>
      <w:r w:rsidRPr="00AA7AA3">
        <w:rPr>
          <w:rFonts w:ascii="Gill Sans MT" w:hAnsi="Gill Sans MT" w:cstheme="minorHAnsi"/>
          <w:sz w:val="24"/>
          <w:szCs w:val="24"/>
        </w:rPr>
        <w:t xml:space="preserve">monitoring and evaluation outputs </w:t>
      </w:r>
      <w:r w:rsidR="000B6839" w:rsidRPr="00AA7AA3">
        <w:rPr>
          <w:rFonts w:ascii="Gill Sans MT" w:hAnsi="Gill Sans MT" w:cstheme="minorHAnsi"/>
          <w:sz w:val="24"/>
          <w:szCs w:val="24"/>
        </w:rPr>
        <w:t>would be</w:t>
      </w:r>
      <w:r w:rsidRPr="00AA7AA3">
        <w:rPr>
          <w:rFonts w:ascii="Gill Sans MT" w:hAnsi="Gill Sans MT" w:cstheme="minorHAnsi"/>
          <w:sz w:val="24"/>
          <w:szCs w:val="24"/>
        </w:rPr>
        <w:t xml:space="preserve"> available first and foremost to service deliverers to assist them to optimise their performance, with the Evaluator-General making these public with appropriate comment and analysis</w:t>
      </w:r>
      <w:r w:rsidR="00985782">
        <w:rPr>
          <w:rFonts w:ascii="Gill Sans MT" w:hAnsi="Gill Sans MT" w:cstheme="minorHAnsi"/>
          <w:sz w:val="24"/>
          <w:szCs w:val="24"/>
        </w:rPr>
        <w:t>.</w:t>
      </w:r>
    </w:p>
    <w:p w14:paraId="26F14D22" w14:textId="0D09A314" w:rsidR="00810A69" w:rsidRPr="00AA7AA3" w:rsidRDefault="00390C26" w:rsidP="00214658">
      <w:pPr>
        <w:spacing w:before="100" w:beforeAutospacing="1" w:after="100" w:afterAutospacing="1"/>
        <w:rPr>
          <w:rFonts w:ascii="Gill Sans MT" w:hAnsi="Gill Sans MT" w:cstheme="minorHAnsi"/>
          <w:sz w:val="24"/>
          <w:szCs w:val="24"/>
        </w:rPr>
      </w:pPr>
      <w:r w:rsidRPr="00AA7AA3">
        <w:rPr>
          <w:rFonts w:ascii="Gill Sans MT" w:hAnsi="Gill Sans MT" w:cstheme="minorHAnsi"/>
          <w:sz w:val="24"/>
          <w:szCs w:val="24"/>
        </w:rPr>
        <w:t>The AES note</w:t>
      </w:r>
      <w:r w:rsidR="004608C3" w:rsidRPr="00AA7AA3">
        <w:rPr>
          <w:rFonts w:ascii="Gill Sans MT" w:hAnsi="Gill Sans MT" w:cstheme="minorHAnsi"/>
          <w:sz w:val="24"/>
          <w:szCs w:val="24"/>
        </w:rPr>
        <w:t>s</w:t>
      </w:r>
      <w:r w:rsidRPr="00AA7AA3">
        <w:rPr>
          <w:rFonts w:ascii="Gill Sans MT" w:hAnsi="Gill Sans MT" w:cstheme="minorHAnsi"/>
          <w:sz w:val="24"/>
          <w:szCs w:val="24"/>
        </w:rPr>
        <w:t xml:space="preserve"> that in establishing such an Office, there </w:t>
      </w:r>
      <w:r w:rsidR="000E60FA" w:rsidRPr="00AA7AA3">
        <w:rPr>
          <w:rFonts w:ascii="Gill Sans MT" w:hAnsi="Gill Sans MT" w:cstheme="minorHAnsi"/>
          <w:sz w:val="24"/>
          <w:szCs w:val="24"/>
        </w:rPr>
        <w:t xml:space="preserve">is a caution about </w:t>
      </w:r>
      <w:r w:rsidRPr="00AA7AA3">
        <w:rPr>
          <w:rFonts w:ascii="Gill Sans MT" w:hAnsi="Gill Sans MT" w:cstheme="minorHAnsi"/>
          <w:sz w:val="24"/>
          <w:szCs w:val="24"/>
        </w:rPr>
        <w:t>creat</w:t>
      </w:r>
      <w:r w:rsidR="000E60FA" w:rsidRPr="00AA7AA3">
        <w:rPr>
          <w:rFonts w:ascii="Gill Sans MT" w:hAnsi="Gill Sans MT" w:cstheme="minorHAnsi"/>
          <w:sz w:val="24"/>
          <w:szCs w:val="24"/>
        </w:rPr>
        <w:t>ing</w:t>
      </w:r>
      <w:r w:rsidRPr="00AA7AA3">
        <w:rPr>
          <w:rFonts w:ascii="Gill Sans MT" w:hAnsi="Gill Sans MT" w:cstheme="minorHAnsi"/>
          <w:sz w:val="24"/>
          <w:szCs w:val="24"/>
        </w:rPr>
        <w:t xml:space="preserve"> another layer of </w:t>
      </w:r>
      <w:r w:rsidR="00990252" w:rsidRPr="00AA7AA3">
        <w:rPr>
          <w:rFonts w:ascii="Gill Sans MT" w:hAnsi="Gill Sans MT" w:cstheme="minorHAnsi"/>
          <w:sz w:val="24"/>
          <w:szCs w:val="24"/>
        </w:rPr>
        <w:t>bureaucracy, which</w:t>
      </w:r>
      <w:r w:rsidR="000E60FA" w:rsidRPr="00AA7AA3">
        <w:rPr>
          <w:rFonts w:ascii="Gill Sans MT" w:hAnsi="Gill Sans MT" w:cstheme="minorHAnsi"/>
          <w:sz w:val="24"/>
          <w:szCs w:val="24"/>
        </w:rPr>
        <w:t xml:space="preserve"> may work against the intent</w:t>
      </w:r>
      <w:r w:rsidR="00B52810" w:rsidRPr="00AA7AA3">
        <w:rPr>
          <w:rFonts w:ascii="Gill Sans MT" w:hAnsi="Gill Sans MT" w:cstheme="minorHAnsi"/>
          <w:sz w:val="24"/>
          <w:szCs w:val="24"/>
        </w:rPr>
        <w:t>, particularly for smaller agencies</w:t>
      </w:r>
      <w:r w:rsidR="00851529">
        <w:rPr>
          <w:rFonts w:ascii="Gill Sans MT" w:hAnsi="Gill Sans MT" w:cstheme="minorHAnsi"/>
          <w:sz w:val="24"/>
          <w:szCs w:val="24"/>
        </w:rPr>
        <w:t>,</w:t>
      </w:r>
      <w:r w:rsidR="005E7A7E" w:rsidRPr="00AA7AA3">
        <w:rPr>
          <w:rFonts w:ascii="Gill Sans MT" w:hAnsi="Gill Sans MT" w:cstheme="minorHAnsi"/>
          <w:sz w:val="24"/>
          <w:szCs w:val="24"/>
        </w:rPr>
        <w:t xml:space="preserve"> </w:t>
      </w:r>
      <w:r w:rsidR="000B6839" w:rsidRPr="00AA7AA3">
        <w:rPr>
          <w:rFonts w:ascii="Gill Sans MT" w:hAnsi="Gill Sans MT" w:cstheme="minorHAnsi"/>
          <w:sz w:val="24"/>
          <w:szCs w:val="24"/>
        </w:rPr>
        <w:t>and suggests it would</w:t>
      </w:r>
      <w:r w:rsidR="005E7A7E" w:rsidRPr="00AA7AA3">
        <w:rPr>
          <w:rFonts w:ascii="Gill Sans MT" w:hAnsi="Gill Sans MT" w:cstheme="minorHAnsi"/>
          <w:sz w:val="24"/>
          <w:szCs w:val="24"/>
        </w:rPr>
        <w:t xml:space="preserve"> benefit from consultations with stakeholders prior to a final form and design being established. </w:t>
      </w:r>
      <w:r w:rsidR="000E60FA" w:rsidRPr="00AA7AA3">
        <w:rPr>
          <w:rFonts w:ascii="Gill Sans MT" w:hAnsi="Gill Sans MT" w:cstheme="minorHAnsi"/>
          <w:sz w:val="24"/>
          <w:szCs w:val="24"/>
        </w:rPr>
        <w:t>I</w:t>
      </w:r>
      <w:r w:rsidR="00D60D32" w:rsidRPr="00AA7AA3">
        <w:rPr>
          <w:rFonts w:ascii="Gill Sans MT" w:hAnsi="Gill Sans MT" w:cstheme="minorHAnsi"/>
          <w:sz w:val="24"/>
          <w:szCs w:val="24"/>
        </w:rPr>
        <w:t>f implemented effectively</w:t>
      </w:r>
      <w:r w:rsidR="000E60FA" w:rsidRPr="00AA7AA3">
        <w:rPr>
          <w:rFonts w:ascii="Gill Sans MT" w:hAnsi="Gill Sans MT" w:cstheme="minorHAnsi"/>
          <w:sz w:val="24"/>
          <w:szCs w:val="24"/>
        </w:rPr>
        <w:t>,</w:t>
      </w:r>
      <w:r w:rsidR="00D60D32" w:rsidRPr="00AA7AA3">
        <w:rPr>
          <w:rFonts w:ascii="Gill Sans MT" w:hAnsi="Gill Sans MT" w:cstheme="minorHAnsi"/>
          <w:sz w:val="24"/>
          <w:szCs w:val="24"/>
        </w:rPr>
        <w:t xml:space="preserve"> t</w:t>
      </w:r>
      <w:r w:rsidR="00C75B7A" w:rsidRPr="00AA7AA3">
        <w:rPr>
          <w:rFonts w:ascii="Gill Sans MT" w:hAnsi="Gill Sans MT" w:cstheme="minorHAnsi"/>
          <w:sz w:val="24"/>
          <w:szCs w:val="24"/>
        </w:rPr>
        <w:t>he value of such an office would ensure that reforms</w:t>
      </w:r>
      <w:r w:rsidR="000E60FA" w:rsidRPr="00AA7AA3">
        <w:rPr>
          <w:rFonts w:ascii="Gill Sans MT" w:hAnsi="Gill Sans MT" w:cstheme="minorHAnsi"/>
          <w:sz w:val="24"/>
          <w:szCs w:val="24"/>
        </w:rPr>
        <w:t>, policies and p</w:t>
      </w:r>
      <w:r w:rsidR="00C75B7A" w:rsidRPr="00AA7AA3">
        <w:rPr>
          <w:rFonts w:ascii="Gill Sans MT" w:hAnsi="Gill Sans MT" w:cstheme="minorHAnsi"/>
          <w:sz w:val="24"/>
          <w:szCs w:val="24"/>
        </w:rPr>
        <w:t>rograms are designed to be evaluable bas</w:t>
      </w:r>
      <w:r w:rsidR="000E60FA" w:rsidRPr="00AA7AA3">
        <w:rPr>
          <w:rFonts w:ascii="Gill Sans MT" w:hAnsi="Gill Sans MT" w:cstheme="minorHAnsi"/>
          <w:sz w:val="24"/>
          <w:szCs w:val="24"/>
        </w:rPr>
        <w:t>ed</w:t>
      </w:r>
      <w:r w:rsidR="00C75B7A" w:rsidRPr="00AA7AA3">
        <w:rPr>
          <w:rFonts w:ascii="Gill Sans MT" w:hAnsi="Gill Sans MT" w:cstheme="minorHAnsi"/>
          <w:sz w:val="24"/>
          <w:szCs w:val="24"/>
        </w:rPr>
        <w:t xml:space="preserve"> </w:t>
      </w:r>
      <w:r w:rsidR="00752814">
        <w:rPr>
          <w:rFonts w:ascii="Gill Sans MT" w:hAnsi="Gill Sans MT" w:cstheme="minorHAnsi"/>
          <w:sz w:val="24"/>
          <w:szCs w:val="24"/>
        </w:rPr>
        <w:t>on</w:t>
      </w:r>
      <w:r w:rsidR="00C75B7A" w:rsidRPr="00AA7AA3">
        <w:rPr>
          <w:rFonts w:ascii="Gill Sans MT" w:hAnsi="Gill Sans MT" w:cstheme="minorHAnsi"/>
          <w:sz w:val="24"/>
          <w:szCs w:val="24"/>
        </w:rPr>
        <w:t xml:space="preserve"> assessments of effectiveness, while contributing to the non-financial perform</w:t>
      </w:r>
      <w:r w:rsidR="002D74D3" w:rsidRPr="00AA7AA3">
        <w:rPr>
          <w:rFonts w:ascii="Gill Sans MT" w:hAnsi="Gill Sans MT" w:cstheme="minorHAnsi"/>
          <w:sz w:val="24"/>
          <w:szCs w:val="24"/>
        </w:rPr>
        <w:t>ance statements of the PGPA Act</w:t>
      </w:r>
      <w:r w:rsidR="00D60D32" w:rsidRPr="00AA7AA3">
        <w:rPr>
          <w:rFonts w:ascii="Gill Sans MT" w:hAnsi="Gill Sans MT" w:cstheme="minorHAnsi"/>
          <w:sz w:val="24"/>
          <w:szCs w:val="24"/>
        </w:rPr>
        <w:t>. It could also serve as a</w:t>
      </w:r>
      <w:r w:rsidR="000E60FA" w:rsidRPr="00AA7AA3">
        <w:rPr>
          <w:rFonts w:ascii="Gill Sans MT" w:hAnsi="Gill Sans MT" w:cstheme="minorHAnsi"/>
          <w:sz w:val="24"/>
          <w:szCs w:val="24"/>
        </w:rPr>
        <w:t>n invaluable</w:t>
      </w:r>
      <w:r w:rsidR="00D60D32" w:rsidRPr="00AA7AA3">
        <w:rPr>
          <w:rFonts w:ascii="Gill Sans MT" w:hAnsi="Gill Sans MT" w:cstheme="minorHAnsi"/>
          <w:sz w:val="24"/>
          <w:szCs w:val="24"/>
        </w:rPr>
        <w:t xml:space="preserve"> resource to </w:t>
      </w:r>
      <w:r w:rsidR="000E60FA" w:rsidRPr="00AA7AA3">
        <w:rPr>
          <w:rFonts w:ascii="Gill Sans MT" w:hAnsi="Gill Sans MT" w:cstheme="minorHAnsi"/>
          <w:sz w:val="24"/>
          <w:szCs w:val="24"/>
        </w:rPr>
        <w:t xml:space="preserve">all </w:t>
      </w:r>
      <w:r w:rsidR="00D60D32" w:rsidRPr="00AA7AA3">
        <w:rPr>
          <w:rFonts w:ascii="Gill Sans MT" w:hAnsi="Gill Sans MT" w:cstheme="minorHAnsi"/>
          <w:sz w:val="24"/>
          <w:szCs w:val="24"/>
        </w:rPr>
        <w:t>agencies</w:t>
      </w:r>
      <w:r w:rsidR="000E60FA" w:rsidRPr="00AA7AA3">
        <w:rPr>
          <w:rFonts w:ascii="Gill Sans MT" w:hAnsi="Gill Sans MT" w:cstheme="minorHAnsi"/>
          <w:sz w:val="24"/>
          <w:szCs w:val="24"/>
        </w:rPr>
        <w:t xml:space="preserve"> and complement internal evaluation resources (in keeping with external and internal audit practices).</w:t>
      </w:r>
    </w:p>
    <w:p w14:paraId="31C5E426" w14:textId="417DEAE5" w:rsidR="005B159F" w:rsidRPr="00AA7AA3" w:rsidRDefault="005B159F" w:rsidP="00214658">
      <w:pPr>
        <w:keepNext/>
        <w:spacing w:before="360"/>
        <w:rPr>
          <w:rFonts w:ascii="Gill Sans MT" w:hAnsi="Gill Sans MT" w:cstheme="minorHAnsi"/>
          <w:b/>
          <w:sz w:val="24"/>
          <w:szCs w:val="24"/>
        </w:rPr>
      </w:pPr>
      <w:r w:rsidRPr="00AA7AA3">
        <w:rPr>
          <w:rFonts w:ascii="Gill Sans MT" w:hAnsi="Gill Sans MT" w:cstheme="minorHAnsi"/>
          <w:b/>
          <w:sz w:val="24"/>
          <w:szCs w:val="24"/>
        </w:rPr>
        <w:t>CONCLUSION</w:t>
      </w:r>
    </w:p>
    <w:p w14:paraId="3A3590B8" w14:textId="77777777" w:rsidR="000A50AB" w:rsidRPr="00AA7AA3" w:rsidRDefault="00F13E03" w:rsidP="00214658">
      <w:pPr>
        <w:keepNext/>
        <w:spacing w:before="100" w:beforeAutospacing="1" w:after="100" w:afterAutospacing="1"/>
        <w:rPr>
          <w:rFonts w:ascii="Gill Sans MT" w:hAnsi="Gill Sans MT" w:cstheme="minorHAnsi"/>
          <w:sz w:val="24"/>
          <w:szCs w:val="24"/>
        </w:rPr>
      </w:pPr>
      <w:r w:rsidRPr="00AA7AA3">
        <w:rPr>
          <w:rFonts w:ascii="Gill Sans MT" w:hAnsi="Gill Sans MT" w:cstheme="minorHAnsi"/>
          <w:sz w:val="24"/>
          <w:szCs w:val="24"/>
        </w:rPr>
        <w:t>The AES</w:t>
      </w:r>
      <w:r w:rsidR="007A1FF6" w:rsidRPr="00AA7AA3">
        <w:rPr>
          <w:rFonts w:ascii="Gill Sans MT" w:hAnsi="Gill Sans MT" w:cstheme="minorHAnsi"/>
          <w:sz w:val="24"/>
          <w:szCs w:val="24"/>
        </w:rPr>
        <w:t xml:space="preserve"> thanks the Independent Reviewers for the opportunity to make a submission to the Inquiry.</w:t>
      </w:r>
      <w:r w:rsidR="00667038" w:rsidRPr="00AA7AA3">
        <w:rPr>
          <w:rFonts w:ascii="Gill Sans MT" w:hAnsi="Gill Sans MT" w:cstheme="minorHAnsi"/>
          <w:sz w:val="24"/>
          <w:szCs w:val="24"/>
        </w:rPr>
        <w:t xml:space="preserve"> </w:t>
      </w:r>
    </w:p>
    <w:p w14:paraId="1972758D" w14:textId="05671F8D" w:rsidR="000A50AB" w:rsidRPr="00AA7AA3" w:rsidRDefault="00C16A27" w:rsidP="00214658">
      <w:pPr>
        <w:spacing w:after="0"/>
        <w:rPr>
          <w:rFonts w:ascii="Gill Sans MT" w:hAnsi="Gill Sans MT" w:cstheme="minorHAnsi"/>
          <w:sz w:val="24"/>
          <w:szCs w:val="24"/>
        </w:rPr>
      </w:pPr>
      <w:r>
        <w:rPr>
          <w:rFonts w:ascii="Gill Sans MT" w:hAnsi="Gill Sans MT" w:cstheme="minorHAnsi"/>
          <w:sz w:val="24"/>
          <w:szCs w:val="24"/>
        </w:rPr>
        <w:t>We</w:t>
      </w:r>
      <w:r w:rsidR="000A50AB" w:rsidRPr="00AA7AA3">
        <w:rPr>
          <w:rFonts w:ascii="Gill Sans MT" w:hAnsi="Gill Sans MT" w:cstheme="minorHAnsi"/>
          <w:sz w:val="24"/>
          <w:szCs w:val="24"/>
        </w:rPr>
        <w:t xml:space="preserve"> suggest that the effectiveness of the APS is best demonstrated through formal evaluation that requires long-term attention to program outcomes.  Many APS programs (especially in health, for example) require many years to produce these outcomes and demonstrate their effectiveness, needing lengthy management attention to program delivery </w:t>
      </w:r>
      <w:r w:rsidR="000A50AB" w:rsidRPr="00AA7AA3">
        <w:rPr>
          <w:rFonts w:ascii="Gill Sans MT" w:hAnsi="Gill Sans MT" w:cstheme="minorHAnsi"/>
          <w:sz w:val="24"/>
          <w:szCs w:val="24"/>
        </w:rPr>
        <w:lastRenderedPageBreak/>
        <w:t>and impact.  Short-term reform will not produce this effectiveness, which requires longitudinal management perspectives and embedded agency practices.</w:t>
      </w:r>
    </w:p>
    <w:p w14:paraId="0FCE5F59" w14:textId="6147A6EF" w:rsidR="005B159F" w:rsidRPr="00AA7AA3" w:rsidRDefault="000A50AB" w:rsidP="00214658">
      <w:pPr>
        <w:keepNext/>
        <w:spacing w:before="100" w:beforeAutospacing="1" w:after="100" w:afterAutospacing="1"/>
        <w:rPr>
          <w:rFonts w:ascii="Gill Sans MT" w:hAnsi="Gill Sans MT" w:cstheme="minorHAnsi"/>
          <w:sz w:val="24"/>
          <w:szCs w:val="24"/>
        </w:rPr>
      </w:pPr>
      <w:r w:rsidRPr="00AA7AA3">
        <w:rPr>
          <w:rFonts w:ascii="Gill Sans MT" w:hAnsi="Gill Sans MT" w:cstheme="minorHAnsi"/>
          <w:sz w:val="24"/>
          <w:szCs w:val="24"/>
        </w:rPr>
        <w:t xml:space="preserve">In this review, it will be important to </w:t>
      </w:r>
      <w:r w:rsidR="005F3DB6" w:rsidRPr="00AA7AA3">
        <w:rPr>
          <w:rFonts w:ascii="Gill Sans MT" w:hAnsi="Gill Sans MT" w:cstheme="minorHAnsi"/>
          <w:sz w:val="24"/>
          <w:szCs w:val="24"/>
        </w:rPr>
        <w:t>move beyond a</w:t>
      </w:r>
      <w:r w:rsidR="00C16A27">
        <w:rPr>
          <w:rFonts w:ascii="Gill Sans MT" w:hAnsi="Gill Sans MT" w:cstheme="minorHAnsi"/>
          <w:sz w:val="24"/>
          <w:szCs w:val="24"/>
        </w:rPr>
        <w:t>n</w:t>
      </w:r>
      <w:r w:rsidRPr="00AA7AA3">
        <w:rPr>
          <w:rFonts w:ascii="Gill Sans MT" w:hAnsi="Gill Sans MT" w:cstheme="minorHAnsi"/>
          <w:sz w:val="24"/>
          <w:szCs w:val="24"/>
        </w:rPr>
        <w:t xml:space="preserve"> APS reform cycle, </w:t>
      </w:r>
      <w:r w:rsidR="005F3DB6" w:rsidRPr="00AA7AA3">
        <w:rPr>
          <w:rFonts w:ascii="Gill Sans MT" w:hAnsi="Gill Sans MT" w:cstheme="minorHAnsi"/>
          <w:sz w:val="24"/>
          <w:szCs w:val="24"/>
        </w:rPr>
        <w:t>to embrace</w:t>
      </w:r>
      <w:r w:rsidRPr="00AA7AA3">
        <w:rPr>
          <w:rFonts w:ascii="Gill Sans MT" w:hAnsi="Gill Sans MT" w:cstheme="minorHAnsi"/>
          <w:sz w:val="24"/>
          <w:szCs w:val="24"/>
        </w:rPr>
        <w:t xml:space="preserve"> </w:t>
      </w:r>
      <w:r w:rsidR="005F3DB6" w:rsidRPr="00AA7AA3">
        <w:rPr>
          <w:rFonts w:ascii="Gill Sans MT" w:hAnsi="Gill Sans MT" w:cstheme="minorHAnsi"/>
          <w:sz w:val="24"/>
          <w:szCs w:val="24"/>
        </w:rPr>
        <w:t>embedding</w:t>
      </w:r>
      <w:r w:rsidRPr="00AA7AA3">
        <w:rPr>
          <w:rFonts w:ascii="Gill Sans MT" w:hAnsi="Gill Sans MT" w:cstheme="minorHAnsi"/>
          <w:sz w:val="24"/>
          <w:szCs w:val="24"/>
        </w:rPr>
        <w:t xml:space="preserve"> permanent practice by APS agencies. </w:t>
      </w:r>
      <w:r w:rsidR="00B85614" w:rsidRPr="00AA7AA3">
        <w:rPr>
          <w:rFonts w:ascii="Gill Sans MT" w:hAnsi="Gill Sans MT" w:cstheme="minorHAnsi"/>
          <w:sz w:val="24"/>
          <w:szCs w:val="24"/>
        </w:rPr>
        <w:t>We acknowledge</w:t>
      </w:r>
      <w:r w:rsidR="004B0037" w:rsidRPr="00AA7AA3">
        <w:rPr>
          <w:rFonts w:ascii="Gill Sans MT" w:hAnsi="Gill Sans MT" w:cstheme="minorHAnsi"/>
          <w:sz w:val="24"/>
          <w:szCs w:val="24"/>
        </w:rPr>
        <w:t xml:space="preserve"> that </w:t>
      </w:r>
      <w:r w:rsidR="00B85614" w:rsidRPr="00AA7AA3">
        <w:rPr>
          <w:rFonts w:ascii="Gill Sans MT" w:hAnsi="Gill Sans MT" w:cstheme="minorHAnsi"/>
          <w:sz w:val="24"/>
          <w:szCs w:val="24"/>
        </w:rPr>
        <w:t xml:space="preserve">the </w:t>
      </w:r>
      <w:r w:rsidR="004B0037" w:rsidRPr="00AA7AA3">
        <w:rPr>
          <w:rFonts w:ascii="Gill Sans MT" w:hAnsi="Gill Sans MT" w:cstheme="minorHAnsi"/>
          <w:sz w:val="24"/>
          <w:szCs w:val="24"/>
        </w:rPr>
        <w:t xml:space="preserve">Australian Government continues to experience fiscal challenges and </w:t>
      </w:r>
      <w:r w:rsidR="00B85614" w:rsidRPr="00AA7AA3">
        <w:rPr>
          <w:rFonts w:ascii="Gill Sans MT" w:hAnsi="Gill Sans MT" w:cstheme="minorHAnsi"/>
          <w:sz w:val="24"/>
          <w:szCs w:val="24"/>
        </w:rPr>
        <w:t xml:space="preserve">there is a </w:t>
      </w:r>
      <w:r w:rsidR="004B0037" w:rsidRPr="00AA7AA3">
        <w:rPr>
          <w:rFonts w:ascii="Gill Sans MT" w:hAnsi="Gill Sans MT" w:cstheme="minorHAnsi"/>
          <w:sz w:val="24"/>
          <w:szCs w:val="24"/>
        </w:rPr>
        <w:t>need for restraint</w:t>
      </w:r>
      <w:r w:rsidR="00B85614" w:rsidRPr="00AA7AA3">
        <w:rPr>
          <w:rFonts w:ascii="Gill Sans MT" w:hAnsi="Gill Sans MT" w:cstheme="minorHAnsi"/>
          <w:sz w:val="24"/>
          <w:szCs w:val="24"/>
        </w:rPr>
        <w:t>.</w:t>
      </w:r>
      <w:r w:rsidR="005F3DB6" w:rsidRPr="00AA7AA3">
        <w:rPr>
          <w:rFonts w:ascii="Gill Sans MT" w:hAnsi="Gill Sans MT" w:cstheme="minorHAnsi"/>
          <w:sz w:val="24"/>
          <w:szCs w:val="24"/>
        </w:rPr>
        <w:t xml:space="preserve"> </w:t>
      </w:r>
      <w:r w:rsidR="00B85614" w:rsidRPr="00AA7AA3">
        <w:rPr>
          <w:rFonts w:ascii="Gill Sans MT" w:hAnsi="Gill Sans MT" w:cstheme="minorHAnsi"/>
          <w:sz w:val="24"/>
          <w:szCs w:val="24"/>
        </w:rPr>
        <w:t>Therefore, sound investment</w:t>
      </w:r>
      <w:r w:rsidR="004B0037" w:rsidRPr="00AA7AA3">
        <w:rPr>
          <w:rFonts w:ascii="Gill Sans MT" w:hAnsi="Gill Sans MT" w:cstheme="minorHAnsi"/>
          <w:sz w:val="24"/>
          <w:szCs w:val="24"/>
        </w:rPr>
        <w:t xml:space="preserve"> in the Australian Public Service through better administrative systems, </w:t>
      </w:r>
      <w:r w:rsidR="00C449A6" w:rsidRPr="00AA7AA3">
        <w:rPr>
          <w:rFonts w:ascii="Gill Sans MT" w:hAnsi="Gill Sans MT" w:cstheme="minorHAnsi"/>
          <w:sz w:val="24"/>
          <w:szCs w:val="24"/>
        </w:rPr>
        <w:t>staff capacity and capability</w:t>
      </w:r>
      <w:r w:rsidR="00F2468B">
        <w:rPr>
          <w:rFonts w:ascii="Gill Sans MT" w:hAnsi="Gill Sans MT" w:cstheme="minorHAnsi"/>
          <w:sz w:val="24"/>
          <w:szCs w:val="24"/>
        </w:rPr>
        <w:t>,</w:t>
      </w:r>
      <w:r w:rsidR="00C449A6" w:rsidRPr="00AA7AA3">
        <w:rPr>
          <w:rFonts w:ascii="Gill Sans MT" w:hAnsi="Gill Sans MT" w:cstheme="minorHAnsi"/>
          <w:sz w:val="24"/>
          <w:szCs w:val="24"/>
        </w:rPr>
        <w:t xml:space="preserve"> and institutional infrastructure will contribute to </w:t>
      </w:r>
      <w:r w:rsidR="00F2468B">
        <w:rPr>
          <w:rFonts w:ascii="Gill Sans MT" w:hAnsi="Gill Sans MT" w:cstheme="minorHAnsi"/>
          <w:sz w:val="24"/>
          <w:szCs w:val="24"/>
        </w:rPr>
        <w:t>the APS</w:t>
      </w:r>
      <w:bookmarkStart w:id="0" w:name="_GoBack"/>
      <w:bookmarkEnd w:id="0"/>
      <w:r w:rsidR="00C449A6" w:rsidRPr="00AA7AA3">
        <w:rPr>
          <w:rFonts w:ascii="Gill Sans MT" w:hAnsi="Gill Sans MT" w:cstheme="minorHAnsi"/>
          <w:sz w:val="24"/>
          <w:szCs w:val="24"/>
        </w:rPr>
        <w:t xml:space="preserve"> being fit-for-purpose </w:t>
      </w:r>
      <w:r w:rsidR="000C10E5" w:rsidRPr="00AA7AA3">
        <w:rPr>
          <w:rFonts w:ascii="Gill Sans MT" w:hAnsi="Gill Sans MT" w:cstheme="minorHAnsi"/>
          <w:sz w:val="24"/>
          <w:szCs w:val="24"/>
        </w:rPr>
        <w:t>for the future.</w:t>
      </w:r>
      <w:r w:rsidR="00C449A6" w:rsidRPr="00AA7AA3">
        <w:rPr>
          <w:rFonts w:ascii="Gill Sans MT" w:hAnsi="Gill Sans MT" w:cstheme="minorHAnsi"/>
          <w:sz w:val="24"/>
          <w:szCs w:val="24"/>
        </w:rPr>
        <w:t xml:space="preserve"> </w:t>
      </w:r>
    </w:p>
    <w:p w14:paraId="0F990FD6" w14:textId="10CAE307" w:rsidR="00990252" w:rsidRPr="00AA7AA3" w:rsidRDefault="00990252" w:rsidP="00822F11">
      <w:pPr>
        <w:spacing w:before="100" w:beforeAutospacing="1" w:after="100" w:afterAutospacing="1"/>
        <w:rPr>
          <w:rFonts w:ascii="Gill Sans MT" w:hAnsi="Gill Sans MT" w:cstheme="minorHAnsi"/>
          <w:sz w:val="24"/>
          <w:szCs w:val="24"/>
        </w:rPr>
      </w:pPr>
      <w:r w:rsidRPr="00AA7AA3">
        <w:rPr>
          <w:rFonts w:ascii="Gill Sans MT" w:hAnsi="Gill Sans MT" w:cstheme="minorHAnsi"/>
          <w:sz w:val="24"/>
          <w:szCs w:val="24"/>
        </w:rPr>
        <w:br w:type="page"/>
      </w:r>
    </w:p>
    <w:p w14:paraId="08A4177A" w14:textId="729064D1" w:rsidR="00D14A98" w:rsidRPr="00AA7AA3" w:rsidRDefault="004605EE" w:rsidP="00822F11">
      <w:pPr>
        <w:rPr>
          <w:rFonts w:ascii="Gill Sans MT" w:hAnsi="Gill Sans MT" w:cstheme="minorHAnsi"/>
          <w:b/>
          <w:sz w:val="24"/>
          <w:szCs w:val="24"/>
        </w:rPr>
      </w:pPr>
      <w:r w:rsidRPr="00AA7AA3">
        <w:rPr>
          <w:rFonts w:ascii="Gill Sans MT" w:hAnsi="Gill Sans MT" w:cstheme="minorHAnsi"/>
          <w:b/>
          <w:sz w:val="24"/>
          <w:szCs w:val="24"/>
        </w:rPr>
        <w:lastRenderedPageBreak/>
        <w:t>B</w:t>
      </w:r>
      <w:r w:rsidR="005B159F" w:rsidRPr="00AA7AA3">
        <w:rPr>
          <w:rFonts w:ascii="Gill Sans MT" w:hAnsi="Gill Sans MT" w:cstheme="minorHAnsi"/>
          <w:b/>
          <w:sz w:val="24"/>
          <w:szCs w:val="24"/>
        </w:rPr>
        <w:t>IBLIOGRAPHY/RESOURCES</w:t>
      </w:r>
    </w:p>
    <w:p w14:paraId="3C87227B" w14:textId="27428EF8" w:rsidR="00E805E3" w:rsidRPr="00AA7AA3" w:rsidRDefault="00E805E3" w:rsidP="00AB7704">
      <w:pPr>
        <w:spacing w:after="240"/>
        <w:rPr>
          <w:rFonts w:ascii="Gill Sans MT" w:hAnsi="Gill Sans MT" w:cstheme="minorHAnsi"/>
          <w:i/>
          <w:u w:val="single"/>
        </w:rPr>
      </w:pPr>
      <w:r w:rsidRPr="00AA7AA3">
        <w:rPr>
          <w:rFonts w:ascii="Gill Sans MT" w:hAnsi="Gill Sans MT" w:cstheme="minorHAnsi"/>
          <w:i/>
          <w:u w:val="single"/>
        </w:rPr>
        <w:t>Documents</w:t>
      </w:r>
    </w:p>
    <w:p w14:paraId="0FD950C2" w14:textId="2BB6E783" w:rsidR="00E60B95" w:rsidRPr="00AA7AA3" w:rsidRDefault="00E60B95" w:rsidP="00AB7704">
      <w:pPr>
        <w:spacing w:after="240"/>
        <w:rPr>
          <w:rFonts w:ascii="Gill Sans MT" w:hAnsi="Gill Sans MT" w:cstheme="minorHAnsi"/>
        </w:rPr>
      </w:pPr>
      <w:r w:rsidRPr="00AA7AA3">
        <w:rPr>
          <w:rFonts w:ascii="Gill Sans MT" w:hAnsi="Gill Sans MT" w:cstheme="minorHAnsi"/>
        </w:rPr>
        <w:t xml:space="preserve">Alexander, E. and </w:t>
      </w:r>
      <w:proofErr w:type="spellStart"/>
      <w:r w:rsidRPr="00AA7AA3">
        <w:rPr>
          <w:rFonts w:ascii="Gill Sans MT" w:hAnsi="Gill Sans MT" w:cstheme="minorHAnsi"/>
        </w:rPr>
        <w:t>Thodey</w:t>
      </w:r>
      <w:proofErr w:type="spellEnd"/>
      <w:r w:rsidRPr="00AA7AA3">
        <w:rPr>
          <w:rFonts w:ascii="Gill Sans MT" w:hAnsi="Gill Sans MT" w:cstheme="minorHAnsi"/>
        </w:rPr>
        <w:t>, D. (2018)</w:t>
      </w:r>
      <w:r w:rsidR="00BC3F9D" w:rsidRPr="00AA7AA3">
        <w:rPr>
          <w:rFonts w:ascii="Gill Sans MT" w:hAnsi="Gill Sans MT" w:cstheme="minorHAnsi"/>
        </w:rPr>
        <w:t>.</w:t>
      </w:r>
      <w:r w:rsidRPr="00AA7AA3">
        <w:rPr>
          <w:rFonts w:ascii="Gill Sans MT" w:hAnsi="Gill Sans MT" w:cstheme="minorHAnsi"/>
        </w:rPr>
        <w:t xml:space="preserve"> </w:t>
      </w:r>
      <w:r w:rsidRPr="00AA7AA3">
        <w:rPr>
          <w:rFonts w:ascii="Gill Sans MT" w:hAnsi="Gill Sans MT" w:cstheme="minorHAnsi"/>
          <w:i/>
        </w:rPr>
        <w:t>Public Governance, Performance and Accountability Act 2013 and Rule Independent Review Consultation Draft</w:t>
      </w:r>
      <w:r w:rsidRPr="00AA7AA3">
        <w:rPr>
          <w:rFonts w:ascii="Gill Sans MT" w:hAnsi="Gill Sans MT" w:cstheme="minorHAnsi"/>
        </w:rPr>
        <w:t xml:space="preserve">. Available at: </w:t>
      </w:r>
      <w:hyperlink r:id="rId13" w:history="1">
        <w:r w:rsidRPr="00AA7AA3">
          <w:rPr>
            <w:rStyle w:val="Hyperlink"/>
            <w:rFonts w:ascii="Gill Sans MT" w:hAnsi="Gill Sans MT" w:cstheme="minorHAnsi"/>
          </w:rPr>
          <w:t>https://www.finance.gov.au/sites/all/themes/pgpa_independent_review/report/PGPA_Act_and_Rule_-_Draft_Report.pdf</w:t>
        </w:r>
      </w:hyperlink>
    </w:p>
    <w:p w14:paraId="0C121177" w14:textId="2D83934E" w:rsidR="00E805E3" w:rsidRPr="00AA7AA3" w:rsidRDefault="00E805E3" w:rsidP="00AB7704">
      <w:pPr>
        <w:spacing w:after="240"/>
        <w:rPr>
          <w:rFonts w:ascii="Gill Sans MT" w:hAnsi="Gill Sans MT" w:cstheme="minorHAnsi"/>
        </w:rPr>
      </w:pPr>
      <w:r w:rsidRPr="00AA7AA3">
        <w:rPr>
          <w:rFonts w:ascii="Gill Sans MT" w:hAnsi="Gill Sans MT" w:cs="Arial"/>
          <w:iCs/>
        </w:rPr>
        <w:t>Banks, G. (2009)</w:t>
      </w:r>
      <w:r w:rsidR="00BC3F9D" w:rsidRPr="00AA7AA3">
        <w:rPr>
          <w:rFonts w:ascii="Gill Sans MT" w:hAnsi="Gill Sans MT" w:cs="Arial"/>
          <w:iCs/>
        </w:rPr>
        <w:t>.</w:t>
      </w:r>
      <w:r w:rsidRPr="00AA7AA3">
        <w:rPr>
          <w:rFonts w:ascii="Gill Sans MT" w:hAnsi="Gill Sans MT" w:cs="Arial"/>
          <w:iCs/>
        </w:rPr>
        <w:t xml:space="preserve"> </w:t>
      </w:r>
      <w:r w:rsidRPr="00AA7AA3">
        <w:rPr>
          <w:rFonts w:ascii="Gill Sans MT" w:hAnsi="Gill Sans MT" w:cs="Arial"/>
          <w:i/>
          <w:iCs/>
        </w:rPr>
        <w:t>Challenges of Evidence Based Policy-Making</w:t>
      </w:r>
      <w:r w:rsidRPr="00AA7AA3">
        <w:rPr>
          <w:rFonts w:ascii="Gill Sans MT" w:hAnsi="Gill Sans MT" w:cs="Arial"/>
        </w:rPr>
        <w:t xml:space="preserve">. Productivity Commission, Australian Public Service Commission. Available at: </w:t>
      </w:r>
      <w:hyperlink r:id="rId14" w:history="1">
        <w:r w:rsidRPr="00AA7AA3">
          <w:rPr>
            <w:rStyle w:val="Hyperlink"/>
            <w:rFonts w:ascii="Gill Sans MT" w:hAnsi="Gill Sans MT" w:cs="Arial"/>
          </w:rPr>
          <w:t>http://www.pc.gov.au/news-media/speeches/cs20090204/20090204-evidence-based-policy.pdf</w:t>
        </w:r>
      </w:hyperlink>
    </w:p>
    <w:p w14:paraId="33C51723" w14:textId="010B6738" w:rsidR="00F85792" w:rsidRPr="00AA7AA3" w:rsidRDefault="00F85792" w:rsidP="00AB7704">
      <w:pPr>
        <w:spacing w:after="240"/>
        <w:rPr>
          <w:rFonts w:ascii="Gill Sans MT" w:hAnsi="Gill Sans MT" w:cstheme="minorHAnsi"/>
        </w:rPr>
      </w:pPr>
      <w:r w:rsidRPr="00AA7AA3">
        <w:rPr>
          <w:rFonts w:ascii="Gill Sans MT" w:hAnsi="Gill Sans MT" w:cstheme="minorHAnsi"/>
        </w:rPr>
        <w:t>Australasian Evaluation Society (2013</w:t>
      </w:r>
      <w:r w:rsidR="009602E5" w:rsidRPr="00AA7AA3">
        <w:rPr>
          <w:rFonts w:ascii="Gill Sans MT" w:hAnsi="Gill Sans MT" w:cstheme="minorHAnsi"/>
        </w:rPr>
        <w:t>a</w:t>
      </w:r>
      <w:r w:rsidRPr="00AA7AA3">
        <w:rPr>
          <w:rFonts w:ascii="Gill Sans MT" w:hAnsi="Gill Sans MT" w:cstheme="minorHAnsi"/>
        </w:rPr>
        <w:t>)</w:t>
      </w:r>
      <w:r w:rsidR="00BC3F9D" w:rsidRPr="00AA7AA3">
        <w:rPr>
          <w:rFonts w:ascii="Gill Sans MT" w:hAnsi="Gill Sans MT" w:cstheme="minorHAnsi"/>
        </w:rPr>
        <w:t>.</w:t>
      </w:r>
      <w:r w:rsidRPr="00AA7AA3">
        <w:rPr>
          <w:rFonts w:ascii="Gill Sans MT" w:hAnsi="Gill Sans MT" w:cstheme="minorHAnsi"/>
        </w:rPr>
        <w:t xml:space="preserve"> </w:t>
      </w:r>
      <w:r w:rsidRPr="00AA7AA3">
        <w:rPr>
          <w:rFonts w:ascii="Gill Sans MT" w:hAnsi="Gill Sans MT" w:cstheme="minorHAnsi"/>
          <w:i/>
        </w:rPr>
        <w:t>Code of Ethics</w:t>
      </w:r>
      <w:r w:rsidRPr="00AA7AA3">
        <w:rPr>
          <w:rFonts w:ascii="Gill Sans MT" w:hAnsi="Gill Sans MT" w:cstheme="minorHAnsi"/>
        </w:rPr>
        <w:t>. Available at:</w:t>
      </w:r>
      <w:r w:rsidR="009602E5" w:rsidRPr="00AA7AA3">
        <w:rPr>
          <w:rFonts w:ascii="Gill Sans MT" w:hAnsi="Gill Sans MT" w:cstheme="minorHAnsi"/>
        </w:rPr>
        <w:t xml:space="preserve"> </w:t>
      </w:r>
      <w:hyperlink r:id="rId15" w:history="1">
        <w:r w:rsidR="00A46CED" w:rsidRPr="00AA7AA3">
          <w:rPr>
            <w:rStyle w:val="Hyperlink"/>
            <w:rFonts w:ascii="Gill Sans MT" w:hAnsi="Gill Sans MT" w:cstheme="minorHAnsi"/>
          </w:rPr>
          <w:t>https://www.aes.asn.au/images/stories/files/membership/AES_Code_of_Ethics_web.pdf</w:t>
        </w:r>
      </w:hyperlink>
      <w:r w:rsidR="00A46CED" w:rsidRPr="00AA7AA3">
        <w:rPr>
          <w:rFonts w:ascii="Gill Sans MT" w:hAnsi="Gill Sans MT" w:cstheme="minorHAnsi"/>
        </w:rPr>
        <w:t xml:space="preserve"> </w:t>
      </w:r>
    </w:p>
    <w:p w14:paraId="681903D5" w14:textId="6EEFCFFF" w:rsidR="00E63DDC" w:rsidRPr="00AA7AA3" w:rsidRDefault="004605EE" w:rsidP="00AB7704">
      <w:pPr>
        <w:spacing w:after="240"/>
        <w:rPr>
          <w:rFonts w:ascii="Gill Sans MT" w:hAnsi="Gill Sans MT" w:cstheme="minorHAnsi"/>
        </w:rPr>
      </w:pPr>
      <w:r w:rsidRPr="00AA7AA3">
        <w:rPr>
          <w:rFonts w:ascii="Gill Sans MT" w:hAnsi="Gill Sans MT" w:cstheme="minorHAnsi"/>
        </w:rPr>
        <w:t>Australasian Evaluation Society (</w:t>
      </w:r>
      <w:r w:rsidR="00E63DDC" w:rsidRPr="00AA7AA3">
        <w:rPr>
          <w:rFonts w:ascii="Gill Sans MT" w:hAnsi="Gill Sans MT" w:cstheme="minorHAnsi"/>
        </w:rPr>
        <w:t>2013</w:t>
      </w:r>
      <w:r w:rsidR="009602E5" w:rsidRPr="00AA7AA3">
        <w:rPr>
          <w:rFonts w:ascii="Gill Sans MT" w:hAnsi="Gill Sans MT" w:cstheme="minorHAnsi"/>
        </w:rPr>
        <w:t>b</w:t>
      </w:r>
      <w:r w:rsidR="00E63DDC" w:rsidRPr="00AA7AA3">
        <w:rPr>
          <w:rFonts w:ascii="Gill Sans MT" w:hAnsi="Gill Sans MT" w:cstheme="minorHAnsi"/>
        </w:rPr>
        <w:t>)</w:t>
      </w:r>
      <w:r w:rsidR="00BC3F9D" w:rsidRPr="00AA7AA3">
        <w:rPr>
          <w:rFonts w:ascii="Gill Sans MT" w:hAnsi="Gill Sans MT" w:cstheme="minorHAnsi"/>
        </w:rPr>
        <w:t>.</w:t>
      </w:r>
      <w:r w:rsidR="00E63DDC" w:rsidRPr="00AA7AA3">
        <w:rPr>
          <w:rFonts w:ascii="Gill Sans MT" w:hAnsi="Gill Sans MT" w:cstheme="minorHAnsi"/>
        </w:rPr>
        <w:t xml:space="preserve"> </w:t>
      </w:r>
      <w:r w:rsidR="00E63DDC" w:rsidRPr="00AA7AA3">
        <w:rPr>
          <w:rFonts w:ascii="Gill Sans MT" w:hAnsi="Gill Sans MT" w:cstheme="minorHAnsi"/>
          <w:i/>
        </w:rPr>
        <w:t>Evaluators Professional Learning Competency Framework</w:t>
      </w:r>
      <w:r w:rsidR="00E63DDC" w:rsidRPr="00AA7AA3">
        <w:rPr>
          <w:rFonts w:ascii="Gill Sans MT" w:hAnsi="Gill Sans MT" w:cstheme="minorHAnsi"/>
        </w:rPr>
        <w:t xml:space="preserve">. Available at </w:t>
      </w:r>
      <w:hyperlink r:id="rId16" w:history="1">
        <w:r w:rsidR="00E63DDC" w:rsidRPr="00AA7AA3">
          <w:rPr>
            <w:rStyle w:val="Hyperlink"/>
            <w:rFonts w:ascii="Gill Sans MT" w:hAnsi="Gill Sans MT" w:cstheme="minorHAnsi"/>
          </w:rPr>
          <w:t>https://www.aes.asn.au/images/stories/files/Professional%20Learning/AES_Evaluators_Competency_Framework.pdf</w:t>
        </w:r>
      </w:hyperlink>
      <w:r w:rsidR="00E63DDC" w:rsidRPr="00AA7AA3">
        <w:rPr>
          <w:rFonts w:ascii="Gill Sans MT" w:hAnsi="Gill Sans MT" w:cstheme="minorHAnsi"/>
        </w:rPr>
        <w:t xml:space="preserve"> </w:t>
      </w:r>
      <w:r w:rsidRPr="00AA7AA3">
        <w:rPr>
          <w:rFonts w:ascii="Gill Sans MT" w:hAnsi="Gill Sans MT" w:cstheme="minorHAnsi"/>
        </w:rPr>
        <w:t xml:space="preserve"> </w:t>
      </w:r>
    </w:p>
    <w:p w14:paraId="1C5C01F2" w14:textId="05DF9F52" w:rsidR="00F85792" w:rsidRPr="00AA7AA3" w:rsidRDefault="00F85792" w:rsidP="00AB7704">
      <w:pPr>
        <w:spacing w:after="240"/>
        <w:rPr>
          <w:rFonts w:ascii="Gill Sans MT" w:hAnsi="Gill Sans MT" w:cstheme="minorHAnsi"/>
        </w:rPr>
      </w:pPr>
      <w:r w:rsidRPr="00AA7AA3">
        <w:rPr>
          <w:rFonts w:ascii="Gill Sans MT" w:hAnsi="Gill Sans MT" w:cstheme="minorHAnsi"/>
        </w:rPr>
        <w:t>Australasian Evaluation Society (2013</w:t>
      </w:r>
      <w:r w:rsidR="009602E5" w:rsidRPr="00AA7AA3">
        <w:rPr>
          <w:rFonts w:ascii="Gill Sans MT" w:hAnsi="Gill Sans MT" w:cstheme="minorHAnsi"/>
        </w:rPr>
        <w:t>c</w:t>
      </w:r>
      <w:r w:rsidRPr="00AA7AA3">
        <w:rPr>
          <w:rFonts w:ascii="Gill Sans MT" w:hAnsi="Gill Sans MT" w:cstheme="minorHAnsi"/>
        </w:rPr>
        <w:t>)</w:t>
      </w:r>
      <w:r w:rsidR="00BC3F9D" w:rsidRPr="00AA7AA3">
        <w:rPr>
          <w:rFonts w:ascii="Gill Sans MT" w:hAnsi="Gill Sans MT" w:cstheme="minorHAnsi"/>
        </w:rPr>
        <w:t>.</w:t>
      </w:r>
      <w:r w:rsidRPr="00AA7AA3">
        <w:rPr>
          <w:rFonts w:ascii="Gill Sans MT" w:hAnsi="Gill Sans MT" w:cstheme="minorHAnsi"/>
        </w:rPr>
        <w:t xml:space="preserve"> </w:t>
      </w:r>
      <w:r w:rsidRPr="00AA7AA3">
        <w:rPr>
          <w:rFonts w:ascii="Gill Sans MT" w:hAnsi="Gill Sans MT" w:cstheme="minorHAnsi"/>
          <w:i/>
        </w:rPr>
        <w:t>Guidelines for the Ethical Conduct of Evaluations</w:t>
      </w:r>
      <w:r w:rsidRPr="00AA7AA3">
        <w:rPr>
          <w:rFonts w:ascii="Gill Sans MT" w:hAnsi="Gill Sans MT" w:cstheme="minorHAnsi"/>
        </w:rPr>
        <w:t xml:space="preserve">. Available at: </w:t>
      </w:r>
      <w:hyperlink r:id="rId17" w:history="1">
        <w:r w:rsidRPr="00AA7AA3">
          <w:rPr>
            <w:rStyle w:val="Hyperlink"/>
            <w:rFonts w:ascii="Gill Sans MT" w:hAnsi="Gill Sans MT" w:cstheme="minorHAnsi"/>
          </w:rPr>
          <w:t>https://www.aes.asn.au/images/stories/files/membership/AES_Guidelines_web_v2.pdf</w:t>
        </w:r>
      </w:hyperlink>
      <w:r w:rsidRPr="00AA7AA3">
        <w:rPr>
          <w:rFonts w:ascii="Gill Sans MT" w:hAnsi="Gill Sans MT" w:cstheme="minorHAnsi"/>
        </w:rPr>
        <w:t xml:space="preserve"> </w:t>
      </w:r>
    </w:p>
    <w:p w14:paraId="378FCD9D" w14:textId="52F457AB" w:rsidR="007D4A0E" w:rsidRPr="00AA7AA3" w:rsidRDefault="007D4A0E" w:rsidP="00AB7704">
      <w:pPr>
        <w:spacing w:after="240"/>
        <w:rPr>
          <w:rFonts w:ascii="Gill Sans MT" w:hAnsi="Gill Sans MT" w:cstheme="minorHAnsi"/>
        </w:rPr>
      </w:pPr>
      <w:r w:rsidRPr="00AA7AA3">
        <w:rPr>
          <w:rFonts w:ascii="Gill Sans MT" w:hAnsi="Gill Sans MT" w:cstheme="minorHAnsi"/>
        </w:rPr>
        <w:t xml:space="preserve">Commonwealth of Australia (1979). </w:t>
      </w:r>
      <w:r w:rsidRPr="00AA7AA3">
        <w:rPr>
          <w:rFonts w:ascii="Gill Sans MT" w:hAnsi="Gill Sans MT" w:cstheme="minorHAnsi"/>
          <w:i/>
        </w:rPr>
        <w:t>'Through a glass, darkly; Evaluation in Australian health and Welfare services</w:t>
      </w:r>
      <w:r w:rsidRPr="00AA7AA3">
        <w:rPr>
          <w:rFonts w:ascii="Gill Sans MT" w:hAnsi="Gill Sans MT" w:cstheme="minorHAnsi"/>
        </w:rPr>
        <w:t xml:space="preserve">' Senate Standing Committee on Social Welfare (SSCSW). Available at: </w:t>
      </w:r>
      <w:hyperlink r:id="rId18" w:history="1">
        <w:r w:rsidRPr="00AA7AA3">
          <w:rPr>
            <w:rStyle w:val="Hyperlink"/>
            <w:rFonts w:ascii="Gill Sans MT" w:hAnsi="Gill Sans MT" w:cstheme="minorHAnsi"/>
          </w:rPr>
          <w:t>https://www.aph.gov.au/Parliamentary_Business/Committees/Senate/Significant_Reports/socialwelfarectte/welfareservices/index</w:t>
        </w:r>
      </w:hyperlink>
      <w:r w:rsidRPr="00AA7AA3">
        <w:rPr>
          <w:rFonts w:ascii="Gill Sans MT" w:hAnsi="Gill Sans MT" w:cstheme="minorHAnsi"/>
        </w:rPr>
        <w:t xml:space="preserve"> </w:t>
      </w:r>
    </w:p>
    <w:p w14:paraId="54B8ED3E" w14:textId="78A88491" w:rsidR="00C467E0" w:rsidRPr="00AA7AA3" w:rsidRDefault="00C467E0" w:rsidP="00AB7704">
      <w:pPr>
        <w:spacing w:after="240"/>
        <w:rPr>
          <w:rFonts w:ascii="Gill Sans MT" w:hAnsi="Gill Sans MT" w:cstheme="minorHAnsi"/>
        </w:rPr>
      </w:pPr>
      <w:r w:rsidRPr="00AA7AA3">
        <w:rPr>
          <w:rFonts w:ascii="Gill Sans MT" w:hAnsi="Gill Sans MT" w:cstheme="minorHAnsi"/>
        </w:rPr>
        <w:t xml:space="preserve">Commonwealth of Australia (2010). </w:t>
      </w:r>
      <w:r w:rsidRPr="00AA7AA3">
        <w:rPr>
          <w:rFonts w:ascii="Gill Sans MT" w:hAnsi="Gill Sans MT" w:cstheme="minorHAnsi"/>
          <w:i/>
        </w:rPr>
        <w:t>Ahead of the Gam</w:t>
      </w:r>
      <w:r w:rsidR="004D4DBB" w:rsidRPr="00AA7AA3">
        <w:rPr>
          <w:rFonts w:ascii="Gill Sans MT" w:hAnsi="Gill Sans MT" w:cstheme="minorHAnsi"/>
          <w:i/>
        </w:rPr>
        <w:t>e – Blueprint for the Reform of Australian Government Administration.</w:t>
      </w:r>
      <w:r w:rsidR="00A46CED" w:rsidRPr="00AA7AA3">
        <w:rPr>
          <w:rFonts w:ascii="Gill Sans MT" w:hAnsi="Gill Sans MT" w:cstheme="minorHAnsi"/>
        </w:rPr>
        <w:t xml:space="preserve"> Attorney-General’s Department. Available at: </w:t>
      </w:r>
      <w:hyperlink r:id="rId19" w:history="1">
        <w:r w:rsidR="00A46CED" w:rsidRPr="00AA7AA3">
          <w:rPr>
            <w:rStyle w:val="Hyperlink"/>
            <w:rFonts w:ascii="Gill Sans MT" w:hAnsi="Gill Sans MT" w:cstheme="minorHAnsi"/>
          </w:rPr>
          <w:t>http://apo.org.au/system/files/20863/apo-nid20863-24401.pdf</w:t>
        </w:r>
      </w:hyperlink>
      <w:r w:rsidR="00A46CED" w:rsidRPr="00AA7AA3">
        <w:rPr>
          <w:rFonts w:ascii="Gill Sans MT" w:hAnsi="Gill Sans MT" w:cstheme="minorHAnsi"/>
        </w:rPr>
        <w:t xml:space="preserve"> </w:t>
      </w:r>
    </w:p>
    <w:p w14:paraId="2ED68BB8" w14:textId="77B6CBA1" w:rsidR="00E60B95" w:rsidRPr="00AA7AA3" w:rsidRDefault="00E63DDC" w:rsidP="00AB7704">
      <w:pPr>
        <w:spacing w:after="240"/>
        <w:rPr>
          <w:rFonts w:ascii="Gill Sans MT" w:hAnsi="Gill Sans MT" w:cstheme="minorHAnsi"/>
        </w:rPr>
      </w:pPr>
      <w:r w:rsidRPr="00AA7AA3">
        <w:rPr>
          <w:rFonts w:ascii="Gill Sans MT" w:hAnsi="Gill Sans MT" w:cstheme="minorHAnsi"/>
        </w:rPr>
        <w:t xml:space="preserve">Commonwealth of Australia (2011) </w:t>
      </w:r>
      <w:r w:rsidRPr="00AA7AA3">
        <w:rPr>
          <w:rFonts w:ascii="Gill Sans MT" w:hAnsi="Gill Sans MT" w:cstheme="minorHAnsi"/>
          <w:i/>
        </w:rPr>
        <w:t>Building the Education Revolution Implementation Taskforce: Final Report</w:t>
      </w:r>
      <w:r w:rsidRPr="00AA7AA3">
        <w:rPr>
          <w:rFonts w:ascii="Gill Sans MT" w:hAnsi="Gill Sans MT" w:cstheme="minorHAnsi"/>
        </w:rPr>
        <w:t xml:space="preserve">. </w:t>
      </w:r>
      <w:r w:rsidR="00493A71" w:rsidRPr="00AA7AA3">
        <w:rPr>
          <w:rFonts w:ascii="Gill Sans MT" w:hAnsi="Gill Sans MT" w:cstheme="minorHAnsi"/>
        </w:rPr>
        <w:t xml:space="preserve"> Department of Education Employment and Workplace Relations. </w:t>
      </w:r>
      <w:r w:rsidRPr="00AA7AA3">
        <w:rPr>
          <w:rFonts w:ascii="Gill Sans MT" w:hAnsi="Gill Sans MT" w:cstheme="minorHAnsi"/>
        </w:rPr>
        <w:t xml:space="preserve">Available at </w:t>
      </w:r>
      <w:hyperlink r:id="rId20" w:history="1">
        <w:r w:rsidRPr="00AA7AA3">
          <w:rPr>
            <w:rStyle w:val="Hyperlink"/>
            <w:rFonts w:ascii="Gill Sans MT" w:hAnsi="Gill Sans MT" w:cstheme="minorHAnsi"/>
          </w:rPr>
          <w:t>http://pandora.nla.gov.au/pan/128244/20110727-1626/www.bertaskforce.gov.au/documents/publications/BERIT_final_report.pdf</w:t>
        </w:r>
      </w:hyperlink>
      <w:r w:rsidRPr="00AA7AA3">
        <w:rPr>
          <w:rFonts w:ascii="Gill Sans MT" w:hAnsi="Gill Sans MT" w:cstheme="minorHAnsi"/>
        </w:rPr>
        <w:t xml:space="preserve"> </w:t>
      </w:r>
    </w:p>
    <w:p w14:paraId="34175245" w14:textId="7C84989C" w:rsidR="009602E5" w:rsidRPr="00AA7AA3" w:rsidRDefault="00E63DDC" w:rsidP="00AB7704">
      <w:pPr>
        <w:spacing w:after="240"/>
        <w:rPr>
          <w:rFonts w:ascii="Gill Sans MT" w:hAnsi="Gill Sans MT" w:cstheme="minorHAnsi"/>
        </w:rPr>
      </w:pPr>
      <w:r w:rsidRPr="00AA7AA3">
        <w:rPr>
          <w:rFonts w:ascii="Gill Sans MT" w:hAnsi="Gill Sans MT" w:cstheme="minorHAnsi"/>
        </w:rPr>
        <w:t>Commonwealth of Australia (2013)</w:t>
      </w:r>
      <w:r w:rsidR="00BC3F9D" w:rsidRPr="00AA7AA3">
        <w:rPr>
          <w:rFonts w:ascii="Gill Sans MT" w:hAnsi="Gill Sans MT" w:cstheme="minorHAnsi"/>
        </w:rPr>
        <w:t>.</w:t>
      </w:r>
      <w:r w:rsidRPr="00AA7AA3">
        <w:rPr>
          <w:rFonts w:ascii="Gill Sans MT" w:hAnsi="Gill Sans MT" w:cstheme="minorHAnsi"/>
        </w:rPr>
        <w:t xml:space="preserve"> </w:t>
      </w:r>
      <w:r w:rsidRPr="00AA7AA3">
        <w:rPr>
          <w:rFonts w:ascii="Gill Sans MT" w:hAnsi="Gill Sans MT" w:cstheme="minorHAnsi"/>
          <w:i/>
        </w:rPr>
        <w:t>Public Governance, Performance and Accountability Act 2013</w:t>
      </w:r>
      <w:r w:rsidRPr="00AA7AA3">
        <w:rPr>
          <w:rFonts w:ascii="Gill Sans MT" w:hAnsi="Gill Sans MT" w:cstheme="minorHAnsi"/>
        </w:rPr>
        <w:t xml:space="preserve">, No. 123, 2013. Available at </w:t>
      </w:r>
      <w:hyperlink r:id="rId21" w:history="1">
        <w:r w:rsidRPr="00AA7AA3">
          <w:rPr>
            <w:rStyle w:val="Hyperlink"/>
            <w:rFonts w:ascii="Gill Sans MT" w:hAnsi="Gill Sans MT" w:cstheme="minorHAnsi"/>
          </w:rPr>
          <w:t>https://www.legislation.gov.au/Details/C2013A00123</w:t>
        </w:r>
      </w:hyperlink>
      <w:r w:rsidRPr="00AA7AA3">
        <w:rPr>
          <w:rFonts w:ascii="Gill Sans MT" w:hAnsi="Gill Sans MT" w:cstheme="minorHAnsi"/>
        </w:rPr>
        <w:t xml:space="preserve"> </w:t>
      </w:r>
    </w:p>
    <w:p w14:paraId="5D118734" w14:textId="4E430787" w:rsidR="009602E5" w:rsidRPr="00AA7AA3" w:rsidRDefault="00B95501" w:rsidP="00AB7704">
      <w:pPr>
        <w:spacing w:after="240"/>
        <w:rPr>
          <w:rFonts w:ascii="Gill Sans MT" w:hAnsi="Gill Sans MT" w:cstheme="minorHAnsi"/>
        </w:rPr>
      </w:pPr>
      <w:r w:rsidRPr="00AA7AA3">
        <w:rPr>
          <w:rFonts w:ascii="Gill Sans MT" w:hAnsi="Gill Sans MT" w:cstheme="minorHAnsi"/>
        </w:rPr>
        <w:t>Commonwealth of Australia (2014)</w:t>
      </w:r>
      <w:r w:rsidR="00BC3F9D" w:rsidRPr="00AA7AA3">
        <w:rPr>
          <w:rFonts w:ascii="Gill Sans MT" w:hAnsi="Gill Sans MT" w:cstheme="minorHAnsi"/>
        </w:rPr>
        <w:t>.</w:t>
      </w:r>
      <w:r w:rsidRPr="00AA7AA3">
        <w:rPr>
          <w:rFonts w:ascii="Gill Sans MT" w:hAnsi="Gill Sans MT" w:cstheme="minorHAnsi"/>
        </w:rPr>
        <w:t xml:space="preserve"> </w:t>
      </w:r>
      <w:r w:rsidRPr="00AA7AA3">
        <w:rPr>
          <w:rFonts w:ascii="Gill Sans MT" w:hAnsi="Gill Sans MT" w:cstheme="minorHAnsi"/>
          <w:i/>
        </w:rPr>
        <w:t>Towards Responsible Government – The Report of the National Commission of Audit Phase Two</w:t>
      </w:r>
      <w:r w:rsidRPr="00AA7AA3">
        <w:rPr>
          <w:rFonts w:ascii="Gill Sans MT" w:hAnsi="Gill Sans MT" w:cstheme="minorHAnsi"/>
        </w:rPr>
        <w:t xml:space="preserve">. </w:t>
      </w:r>
      <w:r w:rsidR="00493A71" w:rsidRPr="00AA7AA3">
        <w:rPr>
          <w:rFonts w:ascii="Gill Sans MT" w:hAnsi="Gill Sans MT" w:cstheme="minorHAnsi"/>
        </w:rPr>
        <w:t xml:space="preserve">Department of Finance. </w:t>
      </w:r>
      <w:r w:rsidRPr="00AA7AA3">
        <w:rPr>
          <w:rFonts w:ascii="Gill Sans MT" w:hAnsi="Gill Sans MT" w:cstheme="minorHAnsi"/>
        </w:rPr>
        <w:t xml:space="preserve">Available at: </w:t>
      </w:r>
      <w:hyperlink r:id="rId22" w:history="1">
        <w:r w:rsidR="00A46CED" w:rsidRPr="00AA7AA3">
          <w:rPr>
            <w:rStyle w:val="Hyperlink"/>
            <w:rFonts w:ascii="Gill Sans MT" w:hAnsi="Gill Sans MT" w:cstheme="minorHAnsi"/>
          </w:rPr>
          <w:t>https://www.ncoa.gov.au/report/phase-two/executive-summary</w:t>
        </w:r>
      </w:hyperlink>
      <w:r w:rsidR="00A46CED" w:rsidRPr="00AA7AA3">
        <w:rPr>
          <w:rFonts w:ascii="Gill Sans MT" w:hAnsi="Gill Sans MT" w:cstheme="minorHAnsi"/>
        </w:rPr>
        <w:t xml:space="preserve"> </w:t>
      </w:r>
    </w:p>
    <w:p w14:paraId="2B02BA1C" w14:textId="4829D027" w:rsidR="008F3F96" w:rsidRPr="00AA7AA3" w:rsidRDefault="008F3F96" w:rsidP="00AB7704">
      <w:pPr>
        <w:spacing w:after="240"/>
        <w:rPr>
          <w:rFonts w:ascii="Gill Sans MT" w:hAnsi="Gill Sans MT" w:cstheme="minorHAnsi"/>
        </w:rPr>
      </w:pPr>
      <w:r w:rsidRPr="00AA7AA3">
        <w:rPr>
          <w:rFonts w:ascii="Gill Sans MT" w:hAnsi="Gill Sans MT" w:cstheme="minorHAnsi"/>
        </w:rPr>
        <w:t xml:space="preserve">Commonwealth of Australia (2016). </w:t>
      </w:r>
      <w:r w:rsidRPr="00AA7AA3">
        <w:rPr>
          <w:rFonts w:ascii="Gill Sans MT" w:hAnsi="Gill Sans MT" w:cstheme="minorHAnsi"/>
          <w:i/>
        </w:rPr>
        <w:t>Overcoming Indigenous Disadvantage Key Indic</w:t>
      </w:r>
      <w:r w:rsidR="008D4F21" w:rsidRPr="00AA7AA3">
        <w:rPr>
          <w:rFonts w:ascii="Gill Sans MT" w:hAnsi="Gill Sans MT" w:cstheme="minorHAnsi"/>
          <w:i/>
        </w:rPr>
        <w:t>a</w:t>
      </w:r>
      <w:r w:rsidRPr="00AA7AA3">
        <w:rPr>
          <w:rFonts w:ascii="Gill Sans MT" w:hAnsi="Gill Sans MT" w:cstheme="minorHAnsi"/>
          <w:i/>
        </w:rPr>
        <w:t>tors 2016 Report. Productivity Commission</w:t>
      </w:r>
      <w:r w:rsidRPr="00AA7AA3">
        <w:rPr>
          <w:rFonts w:ascii="Gill Sans MT" w:hAnsi="Gill Sans MT" w:cstheme="minorHAnsi"/>
        </w:rPr>
        <w:t xml:space="preserve">. Available at: </w:t>
      </w:r>
      <w:hyperlink r:id="rId23" w:history="1">
        <w:r w:rsidRPr="00AA7AA3">
          <w:rPr>
            <w:rStyle w:val="Hyperlink"/>
            <w:rFonts w:ascii="Gill Sans MT" w:hAnsi="Gill Sans MT" w:cstheme="minorHAnsi"/>
          </w:rPr>
          <w:t>http://www.pc.gov.au/research/ongoing/overcoming-indigenous-disadvantage/2016/report-documents/oid-2016-overcoming-indigenous-disadvantage-key-indicators-2016-report.pdf</w:t>
        </w:r>
      </w:hyperlink>
      <w:r w:rsidRPr="00AA7AA3">
        <w:rPr>
          <w:rFonts w:ascii="Gill Sans MT" w:hAnsi="Gill Sans MT" w:cstheme="minorHAnsi"/>
        </w:rPr>
        <w:t xml:space="preserve"> </w:t>
      </w:r>
    </w:p>
    <w:p w14:paraId="20902703" w14:textId="77777777" w:rsidR="0044397D" w:rsidRPr="00AA7AA3" w:rsidRDefault="0044397D" w:rsidP="00AB7704">
      <w:pPr>
        <w:spacing w:after="240"/>
        <w:rPr>
          <w:rFonts w:ascii="Gill Sans MT" w:hAnsi="Gill Sans MT" w:cstheme="minorHAnsi"/>
        </w:rPr>
      </w:pPr>
    </w:p>
    <w:p w14:paraId="553565F2" w14:textId="2F9D3B79" w:rsidR="0044397D" w:rsidRPr="00AA7AA3" w:rsidRDefault="0044397D" w:rsidP="00AB7704">
      <w:pPr>
        <w:spacing w:after="240"/>
        <w:rPr>
          <w:rFonts w:ascii="Gill Sans MT" w:hAnsi="Gill Sans MT" w:cstheme="minorHAnsi"/>
        </w:rPr>
      </w:pPr>
      <w:r w:rsidRPr="00AA7AA3">
        <w:rPr>
          <w:rFonts w:ascii="Gill Sans MT" w:hAnsi="Gill Sans MT" w:cstheme="minorHAnsi"/>
        </w:rPr>
        <w:lastRenderedPageBreak/>
        <w:t xml:space="preserve">Commonwealth of Australia (2017). </w:t>
      </w:r>
      <w:r w:rsidRPr="00AA7AA3">
        <w:rPr>
          <w:rFonts w:ascii="Gill Sans MT" w:hAnsi="Gill Sans MT" w:cstheme="minorHAnsi"/>
          <w:i/>
        </w:rPr>
        <w:t>Evaluation Strategy 2017-2021</w:t>
      </w:r>
      <w:r w:rsidRPr="00AA7AA3">
        <w:rPr>
          <w:rFonts w:ascii="Gill Sans MT" w:hAnsi="Gill Sans MT" w:cstheme="minorHAnsi"/>
        </w:rPr>
        <w:t>. Department of Industry, Innovation and Science, Canberra. At</w:t>
      </w:r>
      <w:r w:rsidR="00C4012E" w:rsidRPr="00AA7AA3">
        <w:rPr>
          <w:rFonts w:ascii="Gill Sans MT" w:hAnsi="Gill Sans MT" w:cstheme="minorHAnsi"/>
        </w:rPr>
        <w:t xml:space="preserve"> </w:t>
      </w:r>
      <w:hyperlink r:id="rId24" w:history="1">
        <w:r w:rsidR="00C4012E" w:rsidRPr="00AA7AA3">
          <w:rPr>
            <w:rStyle w:val="Hyperlink"/>
            <w:rFonts w:ascii="Gill Sans MT" w:hAnsi="Gill Sans MT" w:cstheme="minorHAnsi"/>
          </w:rPr>
          <w:t>https://www.industry.gov.au/sites/g/files/net3906/f/May%202018/document/pdf/department_of_industry_innovation_and_science_evaluation_strategy_2017-2021.pdf</w:t>
        </w:r>
      </w:hyperlink>
      <w:r w:rsidR="00C4012E" w:rsidRPr="00AA7AA3">
        <w:rPr>
          <w:rFonts w:ascii="Gill Sans MT" w:hAnsi="Gill Sans MT" w:cstheme="minorHAnsi"/>
        </w:rPr>
        <w:t xml:space="preserve"> </w:t>
      </w:r>
    </w:p>
    <w:p w14:paraId="312D3C2B" w14:textId="072336EC" w:rsidR="00340FA0" w:rsidRPr="00AA7AA3" w:rsidRDefault="008D4F21" w:rsidP="00AB7704">
      <w:pPr>
        <w:spacing w:after="240"/>
        <w:rPr>
          <w:rFonts w:ascii="Gill Sans MT" w:hAnsi="Gill Sans MT" w:cstheme="minorHAnsi"/>
        </w:rPr>
      </w:pPr>
      <w:r w:rsidRPr="00AA7AA3">
        <w:rPr>
          <w:rFonts w:ascii="Gill Sans MT" w:hAnsi="Gill Sans MT" w:cstheme="minorHAnsi"/>
        </w:rPr>
        <w:t xml:space="preserve">Department of Industry, Innovation and Science (2018). </w:t>
      </w:r>
      <w:r w:rsidRPr="00AA7AA3">
        <w:rPr>
          <w:rFonts w:ascii="Gill Sans MT" w:hAnsi="Gill Sans MT" w:cstheme="minorHAnsi"/>
          <w:i/>
        </w:rPr>
        <w:t>Response to the Independent Review of the PGPA Act and Rule – Consultation Draft Report (June 2018)</w:t>
      </w:r>
      <w:r w:rsidRPr="00AA7AA3">
        <w:rPr>
          <w:rFonts w:ascii="Gill Sans MT" w:hAnsi="Gill Sans MT" w:cstheme="minorHAnsi"/>
        </w:rPr>
        <w:t xml:space="preserve">. Available at: </w:t>
      </w:r>
      <w:hyperlink r:id="rId25" w:history="1">
        <w:r w:rsidRPr="00AA7AA3">
          <w:rPr>
            <w:rStyle w:val="Hyperlink"/>
            <w:rFonts w:ascii="Gill Sans MT" w:hAnsi="Gill Sans MT" w:cstheme="minorHAnsi"/>
          </w:rPr>
          <w:t>https://www.finance.gov.au/sites/all/themes/pgpa_independent_review/draft-submissions/DOIIS.pdf</w:t>
        </w:r>
      </w:hyperlink>
      <w:r w:rsidRPr="00AA7AA3">
        <w:rPr>
          <w:rFonts w:ascii="Gill Sans MT" w:hAnsi="Gill Sans MT" w:cstheme="minorHAnsi"/>
        </w:rPr>
        <w:t xml:space="preserve"> </w:t>
      </w:r>
    </w:p>
    <w:p w14:paraId="5EB4DD32" w14:textId="7AA6A830" w:rsidR="00095A1C" w:rsidRPr="00AA7AA3" w:rsidRDefault="00095A1C" w:rsidP="00095A1C">
      <w:pPr>
        <w:spacing w:after="240"/>
        <w:rPr>
          <w:rFonts w:ascii="Times" w:eastAsia="Times New Roman" w:hAnsi="Times" w:cs="Times New Roman"/>
          <w:sz w:val="20"/>
          <w:szCs w:val="20"/>
        </w:rPr>
      </w:pPr>
      <w:r w:rsidRPr="00AA7AA3">
        <w:rPr>
          <w:rFonts w:ascii="Calibri" w:eastAsia="Times New Roman" w:hAnsi="Calibri" w:cs="Times New Roman"/>
          <w:color w:val="000000" w:themeColor="text1"/>
          <w:shd w:val="clear" w:color="auto" w:fill="FFFFFF"/>
        </w:rPr>
        <w:t xml:space="preserve">Gruen, N. (2016).  </w:t>
      </w:r>
      <w:r w:rsidRPr="00AA7AA3">
        <w:rPr>
          <w:rFonts w:ascii="Calibri" w:eastAsia="Times New Roman" w:hAnsi="Calibri" w:cs="Times New Roman"/>
          <w:i/>
          <w:color w:val="000000" w:themeColor="text1"/>
          <w:shd w:val="clear" w:color="auto" w:fill="FFFFFF"/>
        </w:rPr>
        <w:t>Why Australia Needs an Evaluator-General</w:t>
      </w:r>
      <w:r w:rsidRPr="00AA7AA3">
        <w:rPr>
          <w:rFonts w:ascii="Calibri" w:eastAsia="Times New Roman" w:hAnsi="Calibri" w:cs="Times New Roman"/>
          <w:color w:val="000000" w:themeColor="text1"/>
          <w:shd w:val="clear" w:color="auto" w:fill="FFFFFF"/>
        </w:rPr>
        <w:t xml:space="preserve">. The MANDARIN (9 May 2016). </w:t>
      </w:r>
      <w:r w:rsidR="00EB5243" w:rsidRPr="00AA7AA3">
        <w:rPr>
          <w:rFonts w:ascii="Calibri" w:eastAsia="Times New Roman" w:hAnsi="Calibri" w:cs="Times New Roman"/>
          <w:color w:val="000000" w:themeColor="text1"/>
          <w:shd w:val="clear" w:color="auto" w:fill="FFFFFF"/>
        </w:rPr>
        <w:t>At</w:t>
      </w:r>
      <w:r w:rsidR="009E0457" w:rsidRPr="00AA7AA3">
        <w:rPr>
          <w:rFonts w:ascii="Calibri" w:eastAsia="Times New Roman" w:hAnsi="Calibri" w:cs="Times New Roman"/>
          <w:color w:val="FF0000"/>
          <w:shd w:val="clear" w:color="auto" w:fill="FFFFFF"/>
        </w:rPr>
        <w:t xml:space="preserve"> </w:t>
      </w:r>
      <w:hyperlink r:id="rId26" w:history="1">
        <w:r w:rsidRPr="00AA7AA3">
          <w:rPr>
            <w:rStyle w:val="Hyperlink"/>
            <w:rFonts w:ascii="Calibri" w:eastAsia="Times New Roman" w:hAnsi="Calibri" w:cs="Times New Roman"/>
            <w:shd w:val="clear" w:color="auto" w:fill="FFFFFF"/>
          </w:rPr>
          <w:t>https://www.themandarin.com.au/64566-nicholas-gruen-evaluator-general-part-two/</w:t>
        </w:r>
      </w:hyperlink>
      <w:r w:rsidRPr="00AA7AA3">
        <w:rPr>
          <w:rFonts w:ascii="Times" w:eastAsia="Times New Roman" w:hAnsi="Times" w:cs="Times New Roman"/>
          <w:sz w:val="20"/>
          <w:szCs w:val="20"/>
        </w:rPr>
        <w:t xml:space="preserve"> </w:t>
      </w:r>
    </w:p>
    <w:p w14:paraId="5FAF4ED5" w14:textId="7F5E9D86" w:rsidR="009247CD" w:rsidRPr="00AA7AA3" w:rsidRDefault="009247CD" w:rsidP="00095A1C">
      <w:pPr>
        <w:spacing w:after="240"/>
        <w:rPr>
          <w:rFonts w:ascii="Gill Sans MT" w:hAnsi="Gill Sans MT" w:cstheme="minorHAnsi"/>
        </w:rPr>
      </w:pPr>
      <w:proofErr w:type="spellStart"/>
      <w:r w:rsidRPr="00AA7AA3">
        <w:t>Mcdonald</w:t>
      </w:r>
      <w:proofErr w:type="spellEnd"/>
      <w:r w:rsidRPr="00AA7AA3">
        <w:t xml:space="preserve">, B. Rogers, P and </w:t>
      </w:r>
      <w:proofErr w:type="spellStart"/>
      <w:r w:rsidRPr="00AA7AA3">
        <w:t>Kefford</w:t>
      </w:r>
      <w:proofErr w:type="spellEnd"/>
      <w:r w:rsidRPr="00AA7AA3">
        <w:t xml:space="preserve">, B. (2003). </w:t>
      </w:r>
      <w:r w:rsidRPr="00AA7AA3">
        <w:rPr>
          <w:i/>
        </w:rPr>
        <w:t>Teaching people to fish? Building the evaluation capability of public sector organisations</w:t>
      </w:r>
      <w:r w:rsidRPr="00AA7AA3">
        <w:t>. Evaluation, Sage Publications, London</w:t>
      </w:r>
    </w:p>
    <w:p w14:paraId="2F6A1C08" w14:textId="4B17C131" w:rsidR="00340FA0" w:rsidRPr="00AA7AA3" w:rsidRDefault="00340FA0" w:rsidP="00095A1C">
      <w:pPr>
        <w:spacing w:after="240"/>
        <w:rPr>
          <w:rFonts w:ascii="Gill Sans MT" w:hAnsi="Gill Sans MT" w:cstheme="minorHAnsi"/>
        </w:rPr>
      </w:pPr>
      <w:proofErr w:type="spellStart"/>
      <w:r w:rsidRPr="00AA7AA3">
        <w:rPr>
          <w:rFonts w:ascii="Gill Sans MT" w:hAnsi="Gill Sans MT" w:cstheme="minorHAnsi"/>
        </w:rPr>
        <w:t>Podger</w:t>
      </w:r>
      <w:proofErr w:type="spellEnd"/>
      <w:r w:rsidRPr="00AA7AA3">
        <w:rPr>
          <w:rFonts w:ascii="Gill Sans MT" w:hAnsi="Gill Sans MT" w:cstheme="minorHAnsi"/>
        </w:rPr>
        <w:t xml:space="preserve">, A. (2018). </w:t>
      </w:r>
      <w:r w:rsidRPr="00AA7AA3">
        <w:rPr>
          <w:rFonts w:ascii="Gill Sans MT" w:hAnsi="Gill Sans MT" w:cstheme="minorHAnsi"/>
          <w:i/>
        </w:rPr>
        <w:t>Comments on the Consultation Draft Report of the Independent Review of the PGPA Act 2013 and Rule</w:t>
      </w:r>
      <w:r w:rsidRPr="00AA7AA3">
        <w:rPr>
          <w:rFonts w:ascii="Gill Sans MT" w:hAnsi="Gill Sans MT" w:cstheme="minorHAnsi"/>
        </w:rPr>
        <w:t>. Available at:</w:t>
      </w:r>
      <w:r w:rsidRPr="00AA7AA3">
        <w:rPr>
          <w:rFonts w:ascii="Gill Sans MT" w:hAnsi="Gill Sans MT"/>
        </w:rPr>
        <w:t xml:space="preserve"> </w:t>
      </w:r>
      <w:hyperlink r:id="rId27" w:history="1">
        <w:r w:rsidR="00A46CED" w:rsidRPr="00AA7AA3">
          <w:rPr>
            <w:rStyle w:val="Hyperlink"/>
            <w:rFonts w:ascii="Gill Sans MT" w:hAnsi="Gill Sans MT" w:cstheme="minorHAnsi"/>
          </w:rPr>
          <w:t>https://www.finance.gov.au/sites/all/themes/pgpa_independent_review/draft-submissions/professor-andrew-podger.pdf</w:t>
        </w:r>
      </w:hyperlink>
      <w:r w:rsidR="00A46CED" w:rsidRPr="00AA7AA3">
        <w:rPr>
          <w:rFonts w:ascii="Gill Sans MT" w:hAnsi="Gill Sans MT" w:cstheme="minorHAnsi"/>
        </w:rPr>
        <w:t xml:space="preserve"> </w:t>
      </w:r>
    </w:p>
    <w:p w14:paraId="570A90D3" w14:textId="22DC5935" w:rsidR="00F13E03" w:rsidRPr="00AA7AA3" w:rsidRDefault="00234D9E" w:rsidP="00AB7704">
      <w:pPr>
        <w:spacing w:after="240"/>
        <w:rPr>
          <w:rFonts w:ascii="Gill Sans MT" w:hAnsi="Gill Sans MT"/>
        </w:rPr>
      </w:pPr>
      <w:r w:rsidRPr="00AA7AA3">
        <w:rPr>
          <w:rFonts w:ascii="Gill Sans MT" w:hAnsi="Gill Sans MT"/>
        </w:rPr>
        <w:t>Tune, D. (2010)</w:t>
      </w:r>
      <w:r w:rsidR="00BC3F9D" w:rsidRPr="00AA7AA3">
        <w:rPr>
          <w:rFonts w:ascii="Gill Sans MT" w:hAnsi="Gill Sans MT"/>
        </w:rPr>
        <w:t>.</w:t>
      </w:r>
      <w:r w:rsidRPr="00AA7AA3">
        <w:rPr>
          <w:rFonts w:ascii="Gill Sans MT" w:hAnsi="Gill Sans MT"/>
        </w:rPr>
        <w:t xml:space="preserve"> </w:t>
      </w:r>
      <w:r w:rsidRPr="00AA7AA3">
        <w:rPr>
          <w:rFonts w:ascii="Gill Sans MT" w:hAnsi="Gill Sans MT"/>
          <w:i/>
        </w:rPr>
        <w:t>Evaluation: Renewed Strategic Emphasis – Presentation to the Canberra Evaluation Forum</w:t>
      </w:r>
      <w:r w:rsidRPr="00AA7AA3">
        <w:rPr>
          <w:rFonts w:ascii="Gill Sans MT" w:hAnsi="Gill Sans MT"/>
        </w:rPr>
        <w:t xml:space="preserve">. </w:t>
      </w:r>
      <w:r w:rsidR="00E805E3" w:rsidRPr="00AA7AA3">
        <w:rPr>
          <w:rFonts w:ascii="Gill Sans MT" w:hAnsi="Gill Sans MT"/>
        </w:rPr>
        <w:t xml:space="preserve">Department of </w:t>
      </w:r>
      <w:r w:rsidR="00923BF3" w:rsidRPr="00AA7AA3">
        <w:rPr>
          <w:rFonts w:ascii="Gill Sans MT" w:hAnsi="Gill Sans MT"/>
        </w:rPr>
        <w:t>F</w:t>
      </w:r>
      <w:r w:rsidR="00E805E3" w:rsidRPr="00AA7AA3">
        <w:rPr>
          <w:rFonts w:ascii="Gill Sans MT" w:hAnsi="Gill Sans MT"/>
        </w:rPr>
        <w:t xml:space="preserve">inance. </w:t>
      </w:r>
      <w:r w:rsidRPr="00AA7AA3">
        <w:rPr>
          <w:rFonts w:ascii="Gill Sans MT" w:hAnsi="Gill Sans MT"/>
        </w:rPr>
        <w:t xml:space="preserve">Available at: </w:t>
      </w:r>
      <w:hyperlink r:id="rId28" w:history="1">
        <w:r w:rsidRPr="00AA7AA3">
          <w:rPr>
            <w:rStyle w:val="Hyperlink"/>
            <w:rFonts w:ascii="Gill Sans MT" w:hAnsi="Gill Sans MT"/>
          </w:rPr>
          <w:t>https://www.finance.gov.au/presentations/</w:t>
        </w:r>
      </w:hyperlink>
      <w:r w:rsidRPr="00AA7AA3">
        <w:rPr>
          <w:rFonts w:ascii="Gill Sans MT" w:hAnsi="Gill Sans MT"/>
        </w:rPr>
        <w:t xml:space="preserve">  </w:t>
      </w:r>
    </w:p>
    <w:p w14:paraId="3DFA0B0F" w14:textId="3F73821B" w:rsidR="00E805E3" w:rsidRPr="00AA7AA3" w:rsidRDefault="00E805E3" w:rsidP="00AB7704">
      <w:pPr>
        <w:spacing w:after="240"/>
        <w:rPr>
          <w:rFonts w:ascii="Gill Sans MT" w:hAnsi="Gill Sans MT" w:cstheme="minorHAnsi"/>
          <w:i/>
          <w:sz w:val="24"/>
          <w:szCs w:val="24"/>
          <w:u w:val="single"/>
        </w:rPr>
      </w:pPr>
      <w:r w:rsidRPr="00AA7AA3">
        <w:rPr>
          <w:rFonts w:ascii="Gill Sans MT" w:hAnsi="Gill Sans MT" w:cstheme="minorHAnsi"/>
          <w:i/>
          <w:sz w:val="24"/>
          <w:szCs w:val="24"/>
          <w:u w:val="single"/>
        </w:rPr>
        <w:t>Websites</w:t>
      </w:r>
    </w:p>
    <w:p w14:paraId="4B62CEA3" w14:textId="650A2000" w:rsidR="00F13E03" w:rsidRPr="00AA7AA3" w:rsidRDefault="00923BF3" w:rsidP="00AB7704">
      <w:pPr>
        <w:spacing w:after="240"/>
        <w:rPr>
          <w:rFonts w:ascii="Gill Sans MT" w:hAnsi="Gill Sans MT" w:cstheme="minorHAnsi"/>
          <w:sz w:val="24"/>
          <w:szCs w:val="24"/>
        </w:rPr>
      </w:pPr>
      <w:r w:rsidRPr="00AA7AA3">
        <w:rPr>
          <w:rFonts w:ascii="Gill Sans MT" w:hAnsi="Gill Sans MT" w:cstheme="minorHAnsi"/>
          <w:sz w:val="24"/>
          <w:szCs w:val="24"/>
        </w:rPr>
        <w:t xml:space="preserve">Australasian Evaluation Society – </w:t>
      </w:r>
      <w:hyperlink r:id="rId29" w:history="1">
        <w:r w:rsidR="00EC35E1" w:rsidRPr="00AA7AA3">
          <w:rPr>
            <w:rStyle w:val="Hyperlink"/>
            <w:rFonts w:ascii="Gill Sans MT" w:hAnsi="Gill Sans MT" w:cstheme="minorHAnsi"/>
            <w:sz w:val="24"/>
            <w:szCs w:val="24"/>
          </w:rPr>
          <w:t>www.aes.asn.au</w:t>
        </w:r>
      </w:hyperlink>
      <w:r w:rsidR="00EC35E1" w:rsidRPr="00AA7AA3">
        <w:rPr>
          <w:rFonts w:ascii="Gill Sans MT" w:hAnsi="Gill Sans MT" w:cstheme="minorHAnsi"/>
          <w:sz w:val="24"/>
          <w:szCs w:val="24"/>
        </w:rPr>
        <w:t xml:space="preserve">  </w:t>
      </w:r>
    </w:p>
    <w:p w14:paraId="27AB25BB" w14:textId="22DA4A0E" w:rsidR="00EC35E1" w:rsidRPr="00AA7AA3" w:rsidRDefault="00765038" w:rsidP="00AB7704">
      <w:pPr>
        <w:spacing w:after="240"/>
        <w:rPr>
          <w:rFonts w:ascii="Gill Sans MT" w:hAnsi="Gill Sans MT" w:cstheme="minorHAnsi"/>
          <w:sz w:val="24"/>
          <w:szCs w:val="24"/>
        </w:rPr>
      </w:pPr>
      <w:r w:rsidRPr="00AA7AA3">
        <w:rPr>
          <w:rFonts w:ascii="Gill Sans MT" w:eastAsia="Times New Roman" w:hAnsi="Gill Sans MT" w:cstheme="minorHAnsi"/>
          <w:sz w:val="24"/>
          <w:szCs w:val="24"/>
        </w:rPr>
        <w:t>Evaluation of Complexity Across the Nexus </w:t>
      </w:r>
      <w:r w:rsidRPr="00AA7AA3">
        <w:rPr>
          <w:rFonts w:ascii="Gill Sans MT" w:hAnsi="Gill Sans MT" w:cstheme="minorHAnsi"/>
          <w:sz w:val="24"/>
          <w:szCs w:val="24"/>
        </w:rPr>
        <w:t xml:space="preserve"> - </w:t>
      </w:r>
      <w:hyperlink r:id="rId30" w:history="1">
        <w:r w:rsidRPr="00AA7AA3">
          <w:rPr>
            <w:rStyle w:val="Hyperlink"/>
            <w:rFonts w:ascii="Gill Sans MT" w:hAnsi="Gill Sans MT" w:cstheme="minorHAnsi"/>
            <w:sz w:val="24"/>
            <w:szCs w:val="24"/>
          </w:rPr>
          <w:t>https://cecan.ac.uk</w:t>
        </w:r>
      </w:hyperlink>
      <w:r w:rsidRPr="00AA7AA3">
        <w:rPr>
          <w:rFonts w:ascii="Gill Sans MT" w:hAnsi="Gill Sans MT" w:cstheme="minorHAnsi"/>
          <w:sz w:val="24"/>
          <w:szCs w:val="24"/>
        </w:rPr>
        <w:t xml:space="preserve"> </w:t>
      </w:r>
    </w:p>
    <w:p w14:paraId="0289B979" w14:textId="77777777" w:rsidR="00923BF3" w:rsidRPr="00AA7AA3" w:rsidRDefault="00923BF3" w:rsidP="00AB7704">
      <w:pPr>
        <w:spacing w:after="240"/>
        <w:rPr>
          <w:rFonts w:ascii="Gill Sans MT" w:hAnsi="Gill Sans MT" w:cstheme="minorHAnsi"/>
          <w:sz w:val="24"/>
          <w:szCs w:val="24"/>
        </w:rPr>
      </w:pPr>
    </w:p>
    <w:sectPr w:rsidR="00923BF3" w:rsidRPr="00AA7AA3" w:rsidSect="001426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C6AE0" w14:textId="77777777" w:rsidR="00595D7E" w:rsidRDefault="00595D7E" w:rsidP="000B57EB">
      <w:pPr>
        <w:spacing w:after="0" w:line="240" w:lineRule="auto"/>
      </w:pPr>
      <w:r>
        <w:separator/>
      </w:r>
    </w:p>
  </w:endnote>
  <w:endnote w:type="continuationSeparator" w:id="0">
    <w:p w14:paraId="5F2F9ED2" w14:textId="77777777" w:rsidR="00595D7E" w:rsidRDefault="00595D7E" w:rsidP="000B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Times New Roman (Body CS)">
    <w:altName w:val="Arial"/>
    <w:panose1 w:val="020B06040202020202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434972"/>
      <w:docPartObj>
        <w:docPartGallery w:val="Page Numbers (Bottom of Page)"/>
        <w:docPartUnique/>
      </w:docPartObj>
    </w:sdtPr>
    <w:sdtEndPr>
      <w:rPr>
        <w:noProof/>
      </w:rPr>
    </w:sdtEndPr>
    <w:sdtContent>
      <w:p w14:paraId="1EBFDCD2" w14:textId="7ED68965" w:rsidR="00D57D9D" w:rsidRDefault="00D57D9D">
        <w:pPr>
          <w:pStyle w:val="Footer"/>
          <w:jc w:val="right"/>
        </w:pPr>
        <w:r w:rsidRPr="00836BE5">
          <w:rPr>
            <w:rFonts w:ascii="Gill Sans MT" w:hAnsi="Gill Sans MT"/>
          </w:rPr>
          <w:fldChar w:fldCharType="begin"/>
        </w:r>
        <w:r w:rsidRPr="00836BE5">
          <w:rPr>
            <w:rFonts w:ascii="Gill Sans MT" w:hAnsi="Gill Sans MT"/>
          </w:rPr>
          <w:instrText xml:space="preserve"> PAGE   \* MERGEFORMAT </w:instrText>
        </w:r>
        <w:r w:rsidRPr="00836BE5">
          <w:rPr>
            <w:rFonts w:ascii="Gill Sans MT" w:hAnsi="Gill Sans MT"/>
          </w:rPr>
          <w:fldChar w:fldCharType="separate"/>
        </w:r>
        <w:r w:rsidR="00D71824" w:rsidRPr="00836BE5">
          <w:rPr>
            <w:rFonts w:ascii="Gill Sans MT" w:hAnsi="Gill Sans MT"/>
            <w:noProof/>
          </w:rPr>
          <w:t>1</w:t>
        </w:r>
        <w:r w:rsidRPr="00836BE5">
          <w:rPr>
            <w:rFonts w:ascii="Gill Sans MT" w:hAnsi="Gill Sans MT"/>
            <w:noProof/>
          </w:rPr>
          <w:fldChar w:fldCharType="end"/>
        </w:r>
      </w:p>
    </w:sdtContent>
  </w:sdt>
  <w:p w14:paraId="3AB33941" w14:textId="3F0037A7" w:rsidR="00D57D9D" w:rsidRPr="00836BE5" w:rsidRDefault="00D57D9D">
    <w:pPr>
      <w:pStyle w:val="Footer"/>
      <w:rPr>
        <w:rFonts w:ascii="Gill Sans MT" w:hAnsi="Gill Sans MT"/>
        <w:i/>
      </w:rPr>
    </w:pPr>
    <w:r w:rsidRPr="00836BE5">
      <w:rPr>
        <w:rFonts w:ascii="Gill Sans MT" w:hAnsi="Gill Sans MT"/>
        <w:i/>
      </w:rPr>
      <w:t>AES Submission to the Independent Review of the APS</w:t>
    </w:r>
    <w:r w:rsidR="00760F3C" w:rsidRPr="00836BE5">
      <w:rPr>
        <w:rFonts w:ascii="Gill Sans MT" w:hAnsi="Gill Sans MT"/>
        <w:i/>
      </w:rPr>
      <w:t xml:space="preserve">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2BEB" w14:textId="77777777" w:rsidR="00595D7E" w:rsidRDefault="00595D7E" w:rsidP="000B57EB">
      <w:pPr>
        <w:spacing w:after="0" w:line="240" w:lineRule="auto"/>
      </w:pPr>
      <w:r>
        <w:separator/>
      </w:r>
    </w:p>
  </w:footnote>
  <w:footnote w:type="continuationSeparator" w:id="0">
    <w:p w14:paraId="406493B0" w14:textId="77777777" w:rsidR="00595D7E" w:rsidRDefault="00595D7E" w:rsidP="000B57EB">
      <w:pPr>
        <w:spacing w:after="0" w:line="240" w:lineRule="auto"/>
      </w:pPr>
      <w:r>
        <w:continuationSeparator/>
      </w:r>
    </w:p>
  </w:footnote>
  <w:footnote w:id="1">
    <w:p w14:paraId="3B32A986" w14:textId="7360D06C" w:rsidR="00D57D9D" w:rsidRPr="0014268E" w:rsidRDefault="00D57D9D" w:rsidP="007208A8">
      <w:pPr>
        <w:pStyle w:val="FootnoteText"/>
        <w:rPr>
          <w:lang w:val="en-US"/>
        </w:rPr>
      </w:pPr>
      <w:r>
        <w:rPr>
          <w:rStyle w:val="FootnoteReference"/>
        </w:rPr>
        <w:footnoteRef/>
      </w:r>
      <w:r>
        <w:t xml:space="preserve"> </w:t>
      </w:r>
      <w:r>
        <w:rPr>
          <w:lang w:val="en-US"/>
        </w:rPr>
        <w:t>Section 3 (a) Public Service Act 1999</w:t>
      </w:r>
    </w:p>
  </w:footnote>
  <w:footnote w:id="2">
    <w:p w14:paraId="601D1B1F" w14:textId="6F1BF908" w:rsidR="00D57D9D" w:rsidRPr="0014268E" w:rsidRDefault="00D57D9D" w:rsidP="0014268E">
      <w:pPr>
        <w:pStyle w:val="Heading2"/>
        <w:pBdr>
          <w:bottom w:val="single" w:sz="6" w:space="11" w:color="EFEFEF"/>
        </w:pBdr>
        <w:shd w:val="clear" w:color="auto" w:fill="FFFFFF"/>
        <w:spacing w:after="225" w:line="312" w:lineRule="atLeast"/>
        <w:rPr>
          <w:lang w:val="en-US"/>
        </w:rPr>
      </w:pPr>
      <w:r>
        <w:rPr>
          <w:rStyle w:val="FootnoteReference"/>
        </w:rPr>
        <w:footnoteRef/>
      </w:r>
      <w:r>
        <w:t xml:space="preserve"> </w:t>
      </w:r>
      <w:r>
        <w:rPr>
          <w:rFonts w:ascii="Gill Sans MT" w:eastAsiaTheme="minorHAnsi" w:hAnsi="Gill Sans MT" w:cs="Times New Roman (Body CS)"/>
          <w:b w:val="0"/>
          <w:color w:val="auto"/>
          <w:sz w:val="20"/>
          <w:szCs w:val="20"/>
          <w:lang w:val="en-US" w:eastAsia="en-US"/>
        </w:rPr>
        <w:t>S</w:t>
      </w:r>
      <w:r w:rsidRPr="00C42AA7">
        <w:rPr>
          <w:rFonts w:ascii="Gill Sans MT" w:eastAsiaTheme="minorHAnsi" w:hAnsi="Gill Sans MT" w:cs="Times New Roman (Body CS)"/>
          <w:b w:val="0"/>
          <w:color w:val="auto"/>
          <w:sz w:val="20"/>
          <w:szCs w:val="20"/>
          <w:lang w:val="en-US" w:eastAsia="en-US"/>
        </w:rPr>
        <w:t>ection 5 (c)(</w:t>
      </w:r>
      <w:proofErr w:type="spellStart"/>
      <w:r w:rsidRPr="00C42AA7">
        <w:rPr>
          <w:rFonts w:ascii="Gill Sans MT" w:eastAsiaTheme="minorHAnsi" w:hAnsi="Gill Sans MT" w:cs="Times New Roman (Body CS)"/>
          <w:b w:val="0"/>
          <w:color w:val="auto"/>
          <w:sz w:val="20"/>
          <w:szCs w:val="20"/>
          <w:lang w:val="en-US" w:eastAsia="en-US"/>
        </w:rPr>
        <w:t>i</w:t>
      </w:r>
      <w:proofErr w:type="spellEnd"/>
      <w:r w:rsidRPr="00C42AA7">
        <w:rPr>
          <w:rFonts w:ascii="Gill Sans MT" w:eastAsiaTheme="minorHAnsi" w:hAnsi="Gill Sans MT" w:cs="Times New Roman (Body CS)"/>
          <w:b w:val="0"/>
          <w:color w:val="auto"/>
          <w:sz w:val="20"/>
          <w:szCs w:val="20"/>
          <w:lang w:val="en-US" w:eastAsia="en-US"/>
        </w:rPr>
        <w:t>) Public Governance, Performance and Accountability Act 2013</w:t>
      </w:r>
    </w:p>
  </w:footnote>
  <w:footnote w:id="3">
    <w:p w14:paraId="6935A84E" w14:textId="6D40252E" w:rsidR="00D57D9D" w:rsidRPr="0014268E" w:rsidRDefault="00D57D9D">
      <w:pPr>
        <w:pStyle w:val="FootnoteText"/>
        <w:rPr>
          <w:lang w:val="en-US"/>
        </w:rPr>
      </w:pPr>
      <w:r>
        <w:rPr>
          <w:rStyle w:val="FootnoteReference"/>
        </w:rPr>
        <w:footnoteRef/>
      </w:r>
      <w:r>
        <w:t xml:space="preserve"> </w:t>
      </w:r>
      <w:r w:rsidRPr="0014268E">
        <w:t xml:space="preserve">Commonwealth of Australia </w:t>
      </w:r>
      <w:r>
        <w:t>(</w:t>
      </w:r>
      <w:r w:rsidRPr="0014268E">
        <w:t>2010</w:t>
      </w:r>
      <w:r>
        <w:t xml:space="preserve">) at </w:t>
      </w:r>
      <w:hyperlink r:id="rId1" w:history="1">
        <w:r w:rsidRPr="00C33F02">
          <w:rPr>
            <w:rStyle w:val="Hyperlink"/>
          </w:rPr>
          <w:t>http://apo.org.au/system/files/20863/apo-nid20863-24401.pdf</w:t>
        </w:r>
      </w:hyperlink>
      <w:r>
        <w:t xml:space="preserve"> </w:t>
      </w:r>
    </w:p>
  </w:footnote>
  <w:footnote w:id="4">
    <w:p w14:paraId="29133394" w14:textId="2CE20025" w:rsidR="00D57D9D" w:rsidRPr="00AB7704" w:rsidRDefault="00D57D9D">
      <w:pPr>
        <w:pStyle w:val="FootnoteText"/>
        <w:rPr>
          <w:lang w:val="en-US"/>
        </w:rPr>
      </w:pPr>
      <w:r>
        <w:rPr>
          <w:rStyle w:val="FootnoteReference"/>
        </w:rPr>
        <w:footnoteRef/>
      </w:r>
      <w:r>
        <w:t xml:space="preserve"> </w:t>
      </w:r>
      <w:r>
        <w:rPr>
          <w:lang w:val="en-US"/>
        </w:rPr>
        <w:t xml:space="preserve">Available at: </w:t>
      </w:r>
      <w:hyperlink r:id="rId2" w:history="1">
        <w:r w:rsidRPr="00C33F02">
          <w:rPr>
            <w:rStyle w:val="Hyperlink"/>
            <w:lang w:val="en-US"/>
          </w:rPr>
          <w:t>https://www.aph.gov.au/Parliamentary_Business/Committees/Senate/Significant_Reports/socialwelfarectte/welfareservices/index</w:t>
        </w:r>
      </w:hyperlink>
      <w:r>
        <w:rPr>
          <w:lang w:val="en-US"/>
        </w:rPr>
        <w:t xml:space="preserve"> </w:t>
      </w:r>
    </w:p>
  </w:footnote>
  <w:footnote w:id="5">
    <w:p w14:paraId="5456FE7B" w14:textId="5446C9A2" w:rsidR="00D57D9D" w:rsidRPr="00AB7704" w:rsidRDefault="00D57D9D">
      <w:pPr>
        <w:pStyle w:val="FootnoteText"/>
        <w:rPr>
          <w:lang w:val="en-US"/>
        </w:rPr>
      </w:pPr>
      <w:r>
        <w:rPr>
          <w:rStyle w:val="FootnoteReference"/>
        </w:rPr>
        <w:footnoteRef/>
      </w:r>
      <w:r>
        <w:t xml:space="preserve"> </w:t>
      </w:r>
      <w:r>
        <w:rPr>
          <w:lang w:val="en-US"/>
        </w:rPr>
        <w:t>Commonwealth Financial Accountability Review</w:t>
      </w:r>
    </w:p>
  </w:footnote>
  <w:footnote w:id="6">
    <w:p w14:paraId="7687CB82" w14:textId="7A4758DB" w:rsidR="00D57D9D" w:rsidRPr="0014268E" w:rsidRDefault="00D57D9D">
      <w:pPr>
        <w:pStyle w:val="FootnoteText"/>
        <w:rPr>
          <w:lang w:val="en-US"/>
        </w:rPr>
      </w:pPr>
      <w:r>
        <w:rPr>
          <w:rStyle w:val="FootnoteReference"/>
        </w:rPr>
        <w:footnoteRef/>
      </w:r>
      <w:r>
        <w:t xml:space="preserve"> </w:t>
      </w:r>
      <w:r>
        <w:rPr>
          <w:lang w:val="en-US"/>
        </w:rPr>
        <w:t xml:space="preserve"> Available at </w:t>
      </w:r>
      <w:hyperlink r:id="rId3" w:history="1">
        <w:r w:rsidRPr="00C33F02">
          <w:rPr>
            <w:rStyle w:val="Hyperlink"/>
            <w:lang w:val="en-US"/>
          </w:rPr>
          <w:t>https://www.aes.asn.au/images/stories/files/Professional%20Learning/AES_Evaluators_Competency_Framework.pdf</w:t>
        </w:r>
      </w:hyperlink>
      <w:r>
        <w:rPr>
          <w:lang w:val="en-US"/>
        </w:rPr>
        <w:t xml:space="preserve"> </w:t>
      </w:r>
    </w:p>
  </w:footnote>
  <w:footnote w:id="7">
    <w:p w14:paraId="303292AC" w14:textId="6D60A552" w:rsidR="00D57D9D" w:rsidRPr="00AB7704" w:rsidRDefault="00D57D9D">
      <w:pPr>
        <w:pStyle w:val="FootnoteText"/>
        <w:rPr>
          <w:lang w:val="en-US"/>
        </w:rPr>
      </w:pPr>
      <w:r>
        <w:rPr>
          <w:rStyle w:val="FootnoteReference"/>
        </w:rPr>
        <w:footnoteRef/>
      </w:r>
      <w:r>
        <w:t xml:space="preserve"> </w:t>
      </w:r>
      <w:r>
        <w:rPr>
          <w:lang w:val="en-US"/>
        </w:rPr>
        <w:t xml:space="preserve">see </w:t>
      </w:r>
      <w:r>
        <w:rPr>
          <w:rFonts w:cstheme="minorHAnsi"/>
        </w:rPr>
        <w:t>Executive Summary at</w:t>
      </w:r>
      <w:r w:rsidRPr="00AB7704">
        <w:rPr>
          <w:rFonts w:cstheme="minorHAnsi"/>
        </w:rPr>
        <w:t xml:space="preserve">: </w:t>
      </w:r>
      <w:hyperlink r:id="rId4" w:history="1">
        <w:r w:rsidRPr="00AB7704">
          <w:rPr>
            <w:rStyle w:val="Hyperlink"/>
            <w:rFonts w:cstheme="minorHAnsi"/>
          </w:rPr>
          <w:t>https://www.ncoa.gov.au/report/phase-two/executive-summary</w:t>
        </w:r>
      </w:hyperlink>
    </w:p>
  </w:footnote>
  <w:footnote w:id="8">
    <w:p w14:paraId="3408C2C8" w14:textId="35F4182A" w:rsidR="00D57D9D" w:rsidRPr="00AB7704" w:rsidRDefault="00D57D9D">
      <w:pPr>
        <w:pStyle w:val="FootnoteText"/>
        <w:rPr>
          <w:lang w:val="en-US"/>
        </w:rPr>
      </w:pPr>
      <w:r>
        <w:rPr>
          <w:rStyle w:val="FootnoteReference"/>
        </w:rPr>
        <w:footnoteRef/>
      </w:r>
      <w:r>
        <w:t xml:space="preserve"> </w:t>
      </w:r>
      <w:r>
        <w:rPr>
          <w:lang w:val="en-US"/>
        </w:rPr>
        <w:t xml:space="preserve">see </w:t>
      </w:r>
      <w:r w:rsidRPr="00AB7704">
        <w:rPr>
          <w:rFonts w:cstheme="minorHAnsi"/>
          <w:i/>
        </w:rPr>
        <w:t xml:space="preserve">Overcoming Indigenous Disadvantage Key Indicators 2016 Report. </w:t>
      </w:r>
      <w:r w:rsidRPr="00AB7704">
        <w:rPr>
          <w:rFonts w:cstheme="minorHAnsi"/>
        </w:rPr>
        <w:t xml:space="preserve">at: </w:t>
      </w:r>
      <w:hyperlink r:id="rId5" w:history="1">
        <w:r w:rsidRPr="00AB7704">
          <w:rPr>
            <w:rStyle w:val="Hyperlink"/>
            <w:rFonts w:cstheme="minorHAnsi"/>
          </w:rPr>
          <w:t>http://www.pc.gov.au/research/ongoing/overcoming-indigenous-disadvantage/2016/report-documents/oid-2016-overcoming-indigenous-disadvantage-key-indicators-2016-report.pdf</w:t>
        </w:r>
      </w:hyperlink>
    </w:p>
  </w:footnote>
  <w:footnote w:id="9">
    <w:p w14:paraId="211ECE5C" w14:textId="5284EC52" w:rsidR="00D57D9D" w:rsidRPr="00AB7704" w:rsidRDefault="00D57D9D">
      <w:pPr>
        <w:pStyle w:val="FootnoteText"/>
        <w:rPr>
          <w:lang w:val="en-US"/>
        </w:rPr>
      </w:pPr>
      <w:r>
        <w:rPr>
          <w:rStyle w:val="FootnoteReference"/>
        </w:rPr>
        <w:footnoteRef/>
      </w:r>
      <w:r>
        <w:t xml:space="preserve"> </w:t>
      </w:r>
      <w:r>
        <w:rPr>
          <w:lang w:val="en-US"/>
        </w:rPr>
        <w:t xml:space="preserve">see Consultation Draft at: </w:t>
      </w:r>
      <w:hyperlink r:id="rId6" w:history="1">
        <w:r w:rsidRPr="00AB7704">
          <w:rPr>
            <w:rStyle w:val="Hyperlink"/>
            <w:rFonts w:cstheme="minorHAnsi"/>
          </w:rPr>
          <w:t>https://www.finance.gov.au/sites/all/themes/pgpa_independent_review/report/PGPA_Act_and_Rule_-_Draft_Report.pdf</w:t>
        </w:r>
      </w:hyperlink>
    </w:p>
  </w:footnote>
  <w:footnote w:id="10">
    <w:p w14:paraId="1B7B58F8" w14:textId="4D3E6AB1" w:rsidR="00D57D9D" w:rsidRPr="00CA5B4D" w:rsidRDefault="00D57D9D" w:rsidP="00234D9E">
      <w:pPr>
        <w:pStyle w:val="FootnoteText"/>
        <w:rPr>
          <w:lang w:val="en-US"/>
        </w:rPr>
      </w:pPr>
      <w:r>
        <w:rPr>
          <w:rStyle w:val="FootnoteReference"/>
        </w:rPr>
        <w:footnoteRef/>
      </w:r>
      <w:r>
        <w:t xml:space="preserve"> </w:t>
      </w:r>
      <w:r>
        <w:rPr>
          <w:lang w:val="en-US"/>
        </w:rPr>
        <w:t xml:space="preserve">Tune ,D (2010) </w:t>
      </w:r>
      <w:r w:rsidRPr="00CA5B4D">
        <w:rPr>
          <w:i/>
          <w:lang w:val="en-US"/>
        </w:rPr>
        <w:t>Evaluation: Renewed Strategic Emphasis – Presentation to the Canberra Evaluation Forum</w:t>
      </w:r>
      <w:r>
        <w:rPr>
          <w:lang w:val="en-US"/>
        </w:rPr>
        <w:t xml:space="preserve">. Available at: </w:t>
      </w:r>
      <w:hyperlink r:id="rId7" w:history="1">
        <w:r w:rsidRPr="00C33F02">
          <w:rPr>
            <w:rStyle w:val="Hyperlink"/>
            <w:lang w:val="en-US"/>
          </w:rPr>
          <w:t>https://www.finance.gov.au/presentations/</w:t>
        </w:r>
      </w:hyperlink>
      <w:r>
        <w:rPr>
          <w:lang w:val="en-US"/>
        </w:rPr>
        <w:t xml:space="preserve">  </w:t>
      </w:r>
    </w:p>
  </w:footnote>
  <w:footnote w:id="11">
    <w:p w14:paraId="443029F8" w14:textId="229C1D58" w:rsidR="00D57D9D" w:rsidRPr="0093049A" w:rsidRDefault="00D57D9D" w:rsidP="00941016">
      <w:pPr>
        <w:pStyle w:val="FootnoteText"/>
        <w:ind w:left="142" w:hanging="142"/>
        <w:rPr>
          <w:szCs w:val="16"/>
        </w:rPr>
      </w:pPr>
      <w:r w:rsidRPr="0093049A">
        <w:rPr>
          <w:rStyle w:val="FootnoteReference"/>
          <w:szCs w:val="16"/>
        </w:rPr>
        <w:footnoteRef/>
      </w:r>
      <w:r w:rsidRPr="0093049A">
        <w:rPr>
          <w:szCs w:val="16"/>
        </w:rPr>
        <w:t xml:space="preserve"> See</w:t>
      </w:r>
      <w:r>
        <w:rPr>
          <w:szCs w:val="16"/>
        </w:rPr>
        <w:t xml:space="preserve"> </w:t>
      </w:r>
      <w:proofErr w:type="spellStart"/>
      <w:r>
        <w:rPr>
          <w:szCs w:val="16"/>
        </w:rPr>
        <w:t>pg</w:t>
      </w:r>
      <w:proofErr w:type="spellEnd"/>
      <w:r>
        <w:rPr>
          <w:szCs w:val="16"/>
        </w:rPr>
        <w:t xml:space="preserve"> 2 &amp; </w:t>
      </w:r>
      <w:proofErr w:type="spellStart"/>
      <w:r>
        <w:rPr>
          <w:szCs w:val="16"/>
        </w:rPr>
        <w:t>pg</w:t>
      </w:r>
      <w:proofErr w:type="spellEnd"/>
      <w:r>
        <w:rPr>
          <w:szCs w:val="16"/>
        </w:rPr>
        <w:t xml:space="preserve"> 12 of Consultation Draft at </w:t>
      </w:r>
      <w:hyperlink r:id="rId8" w:history="1">
        <w:r w:rsidRPr="00C33F02">
          <w:rPr>
            <w:rStyle w:val="Hyperlink"/>
            <w:szCs w:val="16"/>
          </w:rPr>
          <w:t>https://www.finance.gov.au/sites/all/themes/pgpa_independent_review/report/PGPA_Act_and_Rule_-_Draft_Report.pdf</w:t>
        </w:r>
      </w:hyperlink>
      <w:r>
        <w:rPr>
          <w:szCs w:val="16"/>
        </w:rPr>
        <w:t xml:space="preserve"> </w:t>
      </w:r>
    </w:p>
  </w:footnote>
  <w:footnote w:id="12">
    <w:p w14:paraId="64B2CB35" w14:textId="07D3B36A" w:rsidR="00D57D9D" w:rsidRPr="0093049A" w:rsidRDefault="00D57D9D" w:rsidP="007B0720">
      <w:pPr>
        <w:pStyle w:val="FootnoteText"/>
        <w:ind w:left="142" w:hanging="142"/>
        <w:rPr>
          <w:szCs w:val="16"/>
        </w:rPr>
      </w:pPr>
      <w:r w:rsidRPr="0093049A">
        <w:rPr>
          <w:rStyle w:val="FootnoteReference"/>
          <w:szCs w:val="16"/>
        </w:rPr>
        <w:footnoteRef/>
      </w:r>
      <w:r w:rsidRPr="0093049A">
        <w:rPr>
          <w:rStyle w:val="FootnoteReference"/>
          <w:szCs w:val="16"/>
        </w:rPr>
        <w:t xml:space="preserve"> </w:t>
      </w:r>
      <w:r>
        <w:rPr>
          <w:szCs w:val="16"/>
        </w:rPr>
        <w:t>as above.</w:t>
      </w:r>
    </w:p>
  </w:footnote>
  <w:footnote w:id="13">
    <w:p w14:paraId="34C3592F" w14:textId="77777777" w:rsidR="00D57D9D" w:rsidRPr="003E4E4D" w:rsidRDefault="00D57D9D" w:rsidP="00543499">
      <w:pPr>
        <w:pStyle w:val="FootnoteText"/>
        <w:rPr>
          <w:lang w:val="en-US"/>
        </w:rPr>
      </w:pPr>
      <w:r>
        <w:rPr>
          <w:rStyle w:val="FootnoteReference"/>
        </w:rPr>
        <w:footnoteRef/>
      </w:r>
      <w:r>
        <w:t xml:space="preserve"> </w:t>
      </w:r>
      <w:r>
        <w:rPr>
          <w:lang w:val="en-US"/>
        </w:rPr>
        <w:t>ANZOG-AES Roundtable – Joint Submission to the Department of Finance, October 2014</w:t>
      </w:r>
    </w:p>
  </w:footnote>
  <w:footnote w:id="14">
    <w:p w14:paraId="45412FCC" w14:textId="7F73EC47" w:rsidR="00D57D9D" w:rsidRPr="00A04345" w:rsidRDefault="00D57D9D" w:rsidP="00543499">
      <w:pPr>
        <w:pStyle w:val="FootnoteText"/>
        <w:rPr>
          <w:lang w:val="en-US"/>
        </w:rPr>
      </w:pPr>
      <w:r>
        <w:rPr>
          <w:rStyle w:val="FootnoteReference"/>
        </w:rPr>
        <w:footnoteRef/>
      </w:r>
      <w:r>
        <w:t xml:space="preserve"> see </w:t>
      </w:r>
      <w:hyperlink r:id="rId9" w:tgtFrame="_blank" w:history="1">
        <w:r w:rsidRPr="00A04345">
          <w:rPr>
            <w:rFonts w:asciiTheme="majorHAnsi" w:eastAsia="Times New Roman" w:hAnsiTheme="majorHAnsi" w:cs="Times New Roman"/>
            <w:color w:val="0000FF"/>
            <w:u w:val="single"/>
          </w:rPr>
          <w:t>http://www.apsc.gov.au/about-the-apsc/parliamentary/state-of-the-service/sosr-2012-13/chapter-ten/capability-reviews-status-and-findings</w:t>
        </w:r>
      </w:hyperlink>
    </w:p>
  </w:footnote>
  <w:footnote w:id="15">
    <w:p w14:paraId="506FF9BF" w14:textId="1DD066FA" w:rsidR="00D57D9D" w:rsidRPr="00181503" w:rsidRDefault="00D57D9D">
      <w:pPr>
        <w:pStyle w:val="FootnoteText"/>
        <w:rPr>
          <w:lang w:val="en-US"/>
        </w:rPr>
      </w:pPr>
      <w:r>
        <w:rPr>
          <w:rStyle w:val="FootnoteReference"/>
        </w:rPr>
        <w:footnoteRef/>
      </w:r>
      <w:r>
        <w:t xml:space="preserve"> </w:t>
      </w:r>
      <w:r>
        <w:rPr>
          <w:lang w:val="en-US"/>
        </w:rPr>
        <w:t xml:space="preserve">See also the </w:t>
      </w:r>
      <w:r w:rsidRPr="00CA5B4D">
        <w:rPr>
          <w:i/>
          <w:lang w:val="en-US"/>
        </w:rPr>
        <w:t>State of the Service Report 2012-13</w:t>
      </w:r>
      <w:r>
        <w:rPr>
          <w:lang w:val="en-US"/>
        </w:rPr>
        <w:t>, particularly page 208)</w:t>
      </w:r>
    </w:p>
  </w:footnote>
  <w:footnote w:id="16">
    <w:p w14:paraId="5A6F35C1" w14:textId="63FAF56E" w:rsidR="00D57D9D" w:rsidRPr="0014268E" w:rsidRDefault="00D57D9D">
      <w:pPr>
        <w:pStyle w:val="FootnoteText"/>
        <w:rPr>
          <w:lang w:val="en-US"/>
        </w:rPr>
      </w:pPr>
      <w:r>
        <w:rPr>
          <w:rStyle w:val="FootnoteReference"/>
        </w:rPr>
        <w:footnoteRef/>
      </w:r>
      <w:r>
        <w:t xml:space="preserve"> </w:t>
      </w:r>
      <w:r w:rsidRPr="0014268E">
        <w:rPr>
          <w:rFonts w:asciiTheme="minorHAnsi" w:hAnsiTheme="minorHAnsi" w:cs="Arial"/>
          <w:iCs/>
        </w:rPr>
        <w:t xml:space="preserve">Banks, G. (2009) </w:t>
      </w:r>
      <w:r w:rsidRPr="0014268E">
        <w:rPr>
          <w:rFonts w:asciiTheme="minorHAnsi" w:hAnsiTheme="minorHAnsi" w:cs="Arial"/>
          <w:i/>
          <w:iCs/>
        </w:rPr>
        <w:t>Challenges of Evidence Based Policy-Making</w:t>
      </w:r>
      <w:r w:rsidRPr="0014268E">
        <w:rPr>
          <w:rFonts w:asciiTheme="minorHAnsi" w:hAnsiTheme="minorHAnsi" w:cs="Arial"/>
        </w:rPr>
        <w:t>. Productivity Commission, Australian Public Service Commission.</w:t>
      </w:r>
      <w:r>
        <w:rPr>
          <w:rFonts w:asciiTheme="minorHAnsi" w:hAnsiTheme="minorHAnsi" w:cs="Arial"/>
        </w:rPr>
        <w:t xml:space="preserve"> Available at: </w:t>
      </w:r>
      <w:hyperlink r:id="rId10" w:history="1">
        <w:r w:rsidRPr="00C33F02">
          <w:rPr>
            <w:rStyle w:val="Hyperlink"/>
            <w:rFonts w:asciiTheme="minorHAnsi" w:hAnsiTheme="minorHAnsi" w:cs="Arial"/>
          </w:rPr>
          <w:t>http://www.pc.gov.au/news-media/speeches/cs20090204/20090204-evidence-based-policy.pdf</w:t>
        </w:r>
      </w:hyperlink>
      <w:r>
        <w:rPr>
          <w:rFonts w:asciiTheme="minorHAnsi" w:hAnsiTheme="minorHAnsi" w:cs="Arial"/>
        </w:rPr>
        <w:t xml:space="preserve"> </w:t>
      </w:r>
    </w:p>
  </w:footnote>
  <w:footnote w:id="17">
    <w:p w14:paraId="551BD76B" w14:textId="5F9698F0" w:rsidR="00D57D9D" w:rsidRPr="0014268E" w:rsidRDefault="00D57D9D">
      <w:pPr>
        <w:pStyle w:val="FootnoteText"/>
        <w:rPr>
          <w:lang w:val="en-US"/>
        </w:rPr>
      </w:pPr>
      <w:r>
        <w:rPr>
          <w:rStyle w:val="FootnoteReference"/>
        </w:rPr>
        <w:footnoteRef/>
      </w:r>
      <w:r>
        <w:t xml:space="preserve"> </w:t>
      </w:r>
      <w:r>
        <w:rPr>
          <w:lang w:val="en-US"/>
        </w:rPr>
        <w:t xml:space="preserve">Tune ,D (2010) </w:t>
      </w:r>
      <w:r w:rsidRPr="00CA5B4D">
        <w:rPr>
          <w:i/>
          <w:lang w:val="en-US"/>
        </w:rPr>
        <w:t>Evaluation: Renewed Strategic Emphasis – Presentation to the Canberra Evaluation Forum</w:t>
      </w:r>
      <w:r>
        <w:rPr>
          <w:lang w:val="en-US"/>
        </w:rPr>
        <w:t xml:space="preserve">. Available at: </w:t>
      </w:r>
      <w:hyperlink r:id="rId11" w:history="1">
        <w:r w:rsidRPr="00C33F02">
          <w:rPr>
            <w:rStyle w:val="Hyperlink"/>
            <w:lang w:val="en-US"/>
          </w:rPr>
          <w:t>https://www.finance.gov.au/presentations/</w:t>
        </w:r>
      </w:hyperlink>
      <w:r>
        <w:rPr>
          <w:lang w:val="en-US"/>
        </w:rPr>
        <w:t xml:space="preserve">  .</w:t>
      </w:r>
    </w:p>
  </w:footnote>
  <w:footnote w:id="18">
    <w:p w14:paraId="156369D6" w14:textId="5D22CFEB" w:rsidR="00D57D9D" w:rsidRPr="0014268E" w:rsidRDefault="00D57D9D">
      <w:pPr>
        <w:pStyle w:val="FootnoteText"/>
        <w:rPr>
          <w:lang w:val="en-US"/>
        </w:rPr>
      </w:pPr>
      <w:r>
        <w:rPr>
          <w:rStyle w:val="FootnoteReference"/>
        </w:rPr>
        <w:footnoteRef/>
      </w:r>
      <w:r>
        <w:t xml:space="preserve"> </w:t>
      </w:r>
      <w:r>
        <w:rPr>
          <w:lang w:val="en-US"/>
        </w:rPr>
        <w:t xml:space="preserve">Commonwealth of Australia (2011) Building the Education Revolution Implementation Taskforce Final Report. Available at: </w:t>
      </w:r>
      <w:hyperlink r:id="rId12" w:history="1">
        <w:r w:rsidRPr="00AB7704">
          <w:rPr>
            <w:rStyle w:val="Hyperlink"/>
            <w:rFonts w:cstheme="minorHAnsi"/>
          </w:rPr>
          <w:t>http://pandora.nla.gov.au/pan/128244/20110727-1626/www.bertaskforce.gov.au/documents/publications/BERIT_final_report.pdf</w:t>
        </w:r>
      </w:hyperlink>
    </w:p>
  </w:footnote>
  <w:footnote w:id="19">
    <w:p w14:paraId="1A708259" w14:textId="1F1E8DBB" w:rsidR="00D57D9D" w:rsidRPr="003524BE" w:rsidRDefault="00D57D9D">
      <w:pPr>
        <w:pStyle w:val="FootnoteText"/>
        <w:rPr>
          <w:lang w:val="en-US"/>
        </w:rPr>
      </w:pPr>
      <w:r>
        <w:rPr>
          <w:rStyle w:val="FootnoteReference"/>
        </w:rPr>
        <w:footnoteRef/>
      </w:r>
      <w:r>
        <w:t xml:space="preserve"> </w:t>
      </w:r>
      <w:r>
        <w:rPr>
          <w:lang w:val="en-US"/>
        </w:rPr>
        <w:t xml:space="preserve">See </w:t>
      </w:r>
      <w:r w:rsidRPr="003F5088">
        <w:rPr>
          <w:lang w:val="en-US"/>
        </w:rPr>
        <w:t>https://www.cecan.ac.uk/</w:t>
      </w:r>
      <w:r>
        <w:rPr>
          <w:lang w:val="en-US"/>
        </w:rPr>
        <w:t xml:space="preserve">  </w:t>
      </w:r>
    </w:p>
  </w:footnote>
  <w:footnote w:id="20">
    <w:p w14:paraId="2DB8B10F" w14:textId="27CC0CC0" w:rsidR="00D57D9D" w:rsidRPr="00AB7704" w:rsidRDefault="00D57D9D">
      <w:pPr>
        <w:pStyle w:val="FootnoteText"/>
        <w:rPr>
          <w:lang w:val="en-US"/>
        </w:rPr>
      </w:pPr>
      <w:r>
        <w:rPr>
          <w:rStyle w:val="FootnoteReference"/>
        </w:rPr>
        <w:footnoteRef/>
      </w:r>
      <w:r>
        <w:t xml:space="preserve"> See </w:t>
      </w:r>
      <w:hyperlink r:id="rId13" w:history="1">
        <w:r w:rsidRPr="00C33F02">
          <w:rPr>
            <w:rStyle w:val="Hyperlink"/>
          </w:rPr>
          <w:t>https://www.finance.gov.au/sites/all/themes/pgpa_independent_review/draft-submissions/professor-andrew-podger.pdf</w:t>
        </w:r>
      </w:hyperlink>
      <w:r>
        <w:t xml:space="preserve"> </w:t>
      </w:r>
    </w:p>
  </w:footnote>
  <w:footnote w:id="21">
    <w:p w14:paraId="1C939349" w14:textId="421011F2" w:rsidR="00D57D9D" w:rsidRPr="003524BE" w:rsidRDefault="00D57D9D">
      <w:pPr>
        <w:pStyle w:val="FootnoteText"/>
        <w:rPr>
          <w:lang w:val="en-US"/>
        </w:rPr>
      </w:pPr>
      <w:r>
        <w:rPr>
          <w:rStyle w:val="FootnoteReference"/>
        </w:rPr>
        <w:footnoteRef/>
      </w:r>
      <w:r>
        <w:t xml:space="preserve"> </w:t>
      </w:r>
      <w:r>
        <w:rPr>
          <w:lang w:val="en-US"/>
        </w:rPr>
        <w:t xml:space="preserve"> See </w:t>
      </w:r>
      <w:hyperlink r:id="rId14" w:tgtFrame="_blank" w:history="1">
        <w:r w:rsidRPr="00D71824">
          <w:rPr>
            <w:rStyle w:val="Hyperlink"/>
            <w:rFonts w:ascii="Calibri" w:eastAsia="Times New Roman" w:hAnsi="Calibri" w:cs="Times New Roman"/>
            <w:iCs/>
            <w:color w:val="000000" w:themeColor="text1"/>
          </w:rPr>
          <w:t>https://www.industry.gov.au/data-and-publications/department-of-industry-innovation-and-science-evaluation-strategy</w:t>
        </w:r>
      </w:hyperlink>
    </w:p>
  </w:footnote>
  <w:footnote w:id="22">
    <w:p w14:paraId="06217E67" w14:textId="0B8B0BB7" w:rsidR="00D57D9D" w:rsidRPr="003524BE" w:rsidRDefault="00D57D9D">
      <w:pPr>
        <w:pStyle w:val="FootnoteText"/>
        <w:rPr>
          <w:lang w:val="en-US"/>
        </w:rPr>
      </w:pPr>
      <w:r>
        <w:rPr>
          <w:rStyle w:val="FootnoteReference"/>
        </w:rPr>
        <w:footnoteRef/>
      </w:r>
      <w:r>
        <w:t xml:space="preserve">  </w:t>
      </w:r>
      <w:proofErr w:type="spellStart"/>
      <w:r>
        <w:t>Mcdonald</w:t>
      </w:r>
      <w:proofErr w:type="spellEnd"/>
      <w:r>
        <w:t xml:space="preserve">, Rogers and </w:t>
      </w:r>
      <w:proofErr w:type="spellStart"/>
      <w:r>
        <w:t>Kefford</w:t>
      </w:r>
      <w:proofErr w:type="spellEnd"/>
      <w:r>
        <w:t xml:space="preserve"> (2003) </w:t>
      </w:r>
      <w:r w:rsidRPr="003524BE">
        <w:rPr>
          <w:i/>
        </w:rPr>
        <w:t>Teaching people to fish? Building the evaluation capability of public sector organisations.</w:t>
      </w:r>
    </w:p>
  </w:footnote>
  <w:footnote w:id="23">
    <w:p w14:paraId="28BF7AB6" w14:textId="7FA1D40B" w:rsidR="00D57D9D" w:rsidRPr="00AB7704" w:rsidRDefault="00D57D9D">
      <w:pPr>
        <w:pStyle w:val="FootnoteText"/>
        <w:rPr>
          <w:lang w:val="en-US"/>
        </w:rPr>
      </w:pPr>
      <w:r>
        <w:rPr>
          <w:rStyle w:val="FootnoteReference"/>
        </w:rPr>
        <w:footnoteRef/>
      </w:r>
      <w:r>
        <w:t xml:space="preserve"> </w:t>
      </w:r>
      <w:r>
        <w:rPr>
          <w:lang w:val="en-US"/>
        </w:rPr>
        <w:t xml:space="preserve">this call has been supported by other stakeholders such as the Department of Industry, Innovation and Science – see </w:t>
      </w:r>
      <w:hyperlink r:id="rId15" w:history="1">
        <w:r w:rsidRPr="00C33F02">
          <w:rPr>
            <w:rStyle w:val="Hyperlink"/>
            <w:lang w:val="en-US"/>
          </w:rPr>
          <w:t>https://www.finance.gov.au/sites/all/themes/pgpa_independent_review/draft-submissions/DOIIS.pdf</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057"/>
    <w:multiLevelType w:val="hybridMultilevel"/>
    <w:tmpl w:val="BD06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D98"/>
    <w:multiLevelType w:val="hybridMultilevel"/>
    <w:tmpl w:val="728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A90"/>
    <w:multiLevelType w:val="hybridMultilevel"/>
    <w:tmpl w:val="BE44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13EE"/>
    <w:multiLevelType w:val="hybridMultilevel"/>
    <w:tmpl w:val="687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1788C"/>
    <w:multiLevelType w:val="multilevel"/>
    <w:tmpl w:val="E5D6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022A3"/>
    <w:multiLevelType w:val="hybridMultilevel"/>
    <w:tmpl w:val="0F0C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D5723"/>
    <w:multiLevelType w:val="hybridMultilevel"/>
    <w:tmpl w:val="6F62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A2F17"/>
    <w:multiLevelType w:val="hybridMultilevel"/>
    <w:tmpl w:val="8F7A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95E45"/>
    <w:multiLevelType w:val="hybridMultilevel"/>
    <w:tmpl w:val="6AB0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B13E7"/>
    <w:multiLevelType w:val="hybridMultilevel"/>
    <w:tmpl w:val="BA6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A7626"/>
    <w:multiLevelType w:val="hybridMultilevel"/>
    <w:tmpl w:val="D372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17080"/>
    <w:multiLevelType w:val="hybridMultilevel"/>
    <w:tmpl w:val="6372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17EB4"/>
    <w:multiLevelType w:val="multilevel"/>
    <w:tmpl w:val="3EA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F84988"/>
    <w:multiLevelType w:val="multilevel"/>
    <w:tmpl w:val="4440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936A4"/>
    <w:multiLevelType w:val="hybridMultilevel"/>
    <w:tmpl w:val="BC30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42869"/>
    <w:multiLevelType w:val="multilevel"/>
    <w:tmpl w:val="118EE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1"/>
  </w:num>
  <w:num w:numId="4">
    <w:abstractNumId w:val="8"/>
  </w:num>
  <w:num w:numId="5">
    <w:abstractNumId w:val="9"/>
  </w:num>
  <w:num w:numId="6">
    <w:abstractNumId w:val="3"/>
  </w:num>
  <w:num w:numId="7">
    <w:abstractNumId w:val="4"/>
  </w:num>
  <w:num w:numId="8">
    <w:abstractNumId w:val="5"/>
  </w:num>
  <w:num w:numId="9">
    <w:abstractNumId w:val="12"/>
  </w:num>
  <w:num w:numId="10">
    <w:abstractNumId w:val="15"/>
  </w:num>
  <w:num w:numId="11">
    <w:abstractNumId w:val="0"/>
  </w:num>
  <w:num w:numId="12">
    <w:abstractNumId w:val="6"/>
  </w:num>
  <w:num w:numId="13">
    <w:abstractNumId w:val="10"/>
  </w:num>
  <w:num w:numId="14">
    <w:abstractNumId w:val="14"/>
  </w:num>
  <w:num w:numId="15">
    <w:abstractNumId w:val="1"/>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E8"/>
    <w:rsid w:val="000053FF"/>
    <w:rsid w:val="00007654"/>
    <w:rsid w:val="000132E6"/>
    <w:rsid w:val="00021CD8"/>
    <w:rsid w:val="0002239E"/>
    <w:rsid w:val="00022DE5"/>
    <w:rsid w:val="00024B09"/>
    <w:rsid w:val="0002603D"/>
    <w:rsid w:val="00030875"/>
    <w:rsid w:val="00031C67"/>
    <w:rsid w:val="000345BE"/>
    <w:rsid w:val="00036E50"/>
    <w:rsid w:val="00037B6C"/>
    <w:rsid w:val="000408EF"/>
    <w:rsid w:val="00042576"/>
    <w:rsid w:val="000448D4"/>
    <w:rsid w:val="000472FD"/>
    <w:rsid w:val="0005038D"/>
    <w:rsid w:val="00052E2B"/>
    <w:rsid w:val="00053B6A"/>
    <w:rsid w:val="000565D2"/>
    <w:rsid w:val="00057051"/>
    <w:rsid w:val="000574C0"/>
    <w:rsid w:val="00057C40"/>
    <w:rsid w:val="00060305"/>
    <w:rsid w:val="00061439"/>
    <w:rsid w:val="0006364F"/>
    <w:rsid w:val="00063684"/>
    <w:rsid w:val="00070529"/>
    <w:rsid w:val="000725DF"/>
    <w:rsid w:val="00076158"/>
    <w:rsid w:val="00080173"/>
    <w:rsid w:val="00085746"/>
    <w:rsid w:val="00086928"/>
    <w:rsid w:val="00086BD2"/>
    <w:rsid w:val="00087E1B"/>
    <w:rsid w:val="000906B6"/>
    <w:rsid w:val="000911DF"/>
    <w:rsid w:val="000931BA"/>
    <w:rsid w:val="00095A1C"/>
    <w:rsid w:val="000968B1"/>
    <w:rsid w:val="000A0C5E"/>
    <w:rsid w:val="000A0F60"/>
    <w:rsid w:val="000A2127"/>
    <w:rsid w:val="000A22D7"/>
    <w:rsid w:val="000A2657"/>
    <w:rsid w:val="000A3FAF"/>
    <w:rsid w:val="000A50AB"/>
    <w:rsid w:val="000B0A27"/>
    <w:rsid w:val="000B4C2E"/>
    <w:rsid w:val="000B4CF3"/>
    <w:rsid w:val="000B57EB"/>
    <w:rsid w:val="000B5BD0"/>
    <w:rsid w:val="000B67EC"/>
    <w:rsid w:val="000B6839"/>
    <w:rsid w:val="000B782F"/>
    <w:rsid w:val="000C10E5"/>
    <w:rsid w:val="000C252F"/>
    <w:rsid w:val="000C4C59"/>
    <w:rsid w:val="000C5EF2"/>
    <w:rsid w:val="000D0374"/>
    <w:rsid w:val="000D037B"/>
    <w:rsid w:val="000D0659"/>
    <w:rsid w:val="000D7C98"/>
    <w:rsid w:val="000E1A50"/>
    <w:rsid w:val="000E254B"/>
    <w:rsid w:val="000E4BEE"/>
    <w:rsid w:val="000E60FA"/>
    <w:rsid w:val="000F06EB"/>
    <w:rsid w:val="000F0D89"/>
    <w:rsid w:val="000F4199"/>
    <w:rsid w:val="000F687B"/>
    <w:rsid w:val="0010010B"/>
    <w:rsid w:val="00101BA3"/>
    <w:rsid w:val="0010299B"/>
    <w:rsid w:val="00102AFD"/>
    <w:rsid w:val="00104033"/>
    <w:rsid w:val="001132CF"/>
    <w:rsid w:val="001147C6"/>
    <w:rsid w:val="001157FF"/>
    <w:rsid w:val="00115A52"/>
    <w:rsid w:val="001166C2"/>
    <w:rsid w:val="0011785F"/>
    <w:rsid w:val="00117D93"/>
    <w:rsid w:val="001225ED"/>
    <w:rsid w:val="00124103"/>
    <w:rsid w:val="00125904"/>
    <w:rsid w:val="00137AE8"/>
    <w:rsid w:val="001413BE"/>
    <w:rsid w:val="00142362"/>
    <w:rsid w:val="0014268E"/>
    <w:rsid w:val="00146A7E"/>
    <w:rsid w:val="00147C9C"/>
    <w:rsid w:val="001508FD"/>
    <w:rsid w:val="00160994"/>
    <w:rsid w:val="00165740"/>
    <w:rsid w:val="00166B8A"/>
    <w:rsid w:val="0017026A"/>
    <w:rsid w:val="00170665"/>
    <w:rsid w:val="001721DB"/>
    <w:rsid w:val="00172A43"/>
    <w:rsid w:val="00174DEE"/>
    <w:rsid w:val="0017542E"/>
    <w:rsid w:val="00177120"/>
    <w:rsid w:val="00181503"/>
    <w:rsid w:val="00182FCA"/>
    <w:rsid w:val="0019096B"/>
    <w:rsid w:val="001922D5"/>
    <w:rsid w:val="00196DF6"/>
    <w:rsid w:val="001A1879"/>
    <w:rsid w:val="001A1A91"/>
    <w:rsid w:val="001A1FB3"/>
    <w:rsid w:val="001A5293"/>
    <w:rsid w:val="001A6E4F"/>
    <w:rsid w:val="001B096F"/>
    <w:rsid w:val="001B2ED3"/>
    <w:rsid w:val="001B4B6C"/>
    <w:rsid w:val="001B604E"/>
    <w:rsid w:val="001B6726"/>
    <w:rsid w:val="001C2D20"/>
    <w:rsid w:val="001C40D7"/>
    <w:rsid w:val="001C6AA5"/>
    <w:rsid w:val="001C6FE3"/>
    <w:rsid w:val="001C7036"/>
    <w:rsid w:val="001D1AE3"/>
    <w:rsid w:val="001D22F9"/>
    <w:rsid w:val="001D2C35"/>
    <w:rsid w:val="001D2EA1"/>
    <w:rsid w:val="001D3362"/>
    <w:rsid w:val="001D72DF"/>
    <w:rsid w:val="001E04CD"/>
    <w:rsid w:val="001E1CC0"/>
    <w:rsid w:val="001E37CC"/>
    <w:rsid w:val="001E49C6"/>
    <w:rsid w:val="001F023C"/>
    <w:rsid w:val="001F153B"/>
    <w:rsid w:val="001F5545"/>
    <w:rsid w:val="001F61EF"/>
    <w:rsid w:val="001F7997"/>
    <w:rsid w:val="001F7D1D"/>
    <w:rsid w:val="00201796"/>
    <w:rsid w:val="002072F2"/>
    <w:rsid w:val="0021105C"/>
    <w:rsid w:val="00214658"/>
    <w:rsid w:val="002157C0"/>
    <w:rsid w:val="00220896"/>
    <w:rsid w:val="00222893"/>
    <w:rsid w:val="00222A26"/>
    <w:rsid w:val="002232C5"/>
    <w:rsid w:val="00224ED2"/>
    <w:rsid w:val="002254B5"/>
    <w:rsid w:val="00226A63"/>
    <w:rsid w:val="00234D9E"/>
    <w:rsid w:val="0024096E"/>
    <w:rsid w:val="002415A3"/>
    <w:rsid w:val="002421F2"/>
    <w:rsid w:val="0024316A"/>
    <w:rsid w:val="00246398"/>
    <w:rsid w:val="00246873"/>
    <w:rsid w:val="002533F7"/>
    <w:rsid w:val="00253B88"/>
    <w:rsid w:val="00253D36"/>
    <w:rsid w:val="0025479C"/>
    <w:rsid w:val="00264083"/>
    <w:rsid w:val="0026692F"/>
    <w:rsid w:val="00267594"/>
    <w:rsid w:val="00281B35"/>
    <w:rsid w:val="00282537"/>
    <w:rsid w:val="00286E44"/>
    <w:rsid w:val="00292868"/>
    <w:rsid w:val="00297AC7"/>
    <w:rsid w:val="002A7D3C"/>
    <w:rsid w:val="002B3EA1"/>
    <w:rsid w:val="002B59D2"/>
    <w:rsid w:val="002C2B56"/>
    <w:rsid w:val="002C2B8E"/>
    <w:rsid w:val="002C3A38"/>
    <w:rsid w:val="002C53BB"/>
    <w:rsid w:val="002C53FB"/>
    <w:rsid w:val="002D0681"/>
    <w:rsid w:val="002D13B0"/>
    <w:rsid w:val="002D203D"/>
    <w:rsid w:val="002D74D3"/>
    <w:rsid w:val="002E0955"/>
    <w:rsid w:val="002F2BE8"/>
    <w:rsid w:val="00300DBF"/>
    <w:rsid w:val="003020F1"/>
    <w:rsid w:val="00304D5F"/>
    <w:rsid w:val="00306F48"/>
    <w:rsid w:val="00315CB8"/>
    <w:rsid w:val="00321E68"/>
    <w:rsid w:val="0032407E"/>
    <w:rsid w:val="00325BBC"/>
    <w:rsid w:val="00326493"/>
    <w:rsid w:val="00330B06"/>
    <w:rsid w:val="00331794"/>
    <w:rsid w:val="00331DB7"/>
    <w:rsid w:val="003333E0"/>
    <w:rsid w:val="00333898"/>
    <w:rsid w:val="00333F15"/>
    <w:rsid w:val="00334667"/>
    <w:rsid w:val="003403C2"/>
    <w:rsid w:val="00340FA0"/>
    <w:rsid w:val="00341ADD"/>
    <w:rsid w:val="0034568E"/>
    <w:rsid w:val="00346913"/>
    <w:rsid w:val="00351F1E"/>
    <w:rsid w:val="003524BE"/>
    <w:rsid w:val="003525A5"/>
    <w:rsid w:val="00353EFD"/>
    <w:rsid w:val="00360C02"/>
    <w:rsid w:val="00363C5D"/>
    <w:rsid w:val="003655C1"/>
    <w:rsid w:val="00365762"/>
    <w:rsid w:val="0037145C"/>
    <w:rsid w:val="00374E5E"/>
    <w:rsid w:val="00382064"/>
    <w:rsid w:val="00382B8D"/>
    <w:rsid w:val="00383DCB"/>
    <w:rsid w:val="00384D57"/>
    <w:rsid w:val="003850C5"/>
    <w:rsid w:val="00390C26"/>
    <w:rsid w:val="00390EBE"/>
    <w:rsid w:val="003914D1"/>
    <w:rsid w:val="003926B6"/>
    <w:rsid w:val="00397C35"/>
    <w:rsid w:val="00397FF4"/>
    <w:rsid w:val="003A0EA3"/>
    <w:rsid w:val="003A1826"/>
    <w:rsid w:val="003A5A99"/>
    <w:rsid w:val="003B1230"/>
    <w:rsid w:val="003B271A"/>
    <w:rsid w:val="003B4066"/>
    <w:rsid w:val="003B4330"/>
    <w:rsid w:val="003B559F"/>
    <w:rsid w:val="003B61BE"/>
    <w:rsid w:val="003C1924"/>
    <w:rsid w:val="003C1E55"/>
    <w:rsid w:val="003C3773"/>
    <w:rsid w:val="003C46D3"/>
    <w:rsid w:val="003C4C7D"/>
    <w:rsid w:val="003C55D5"/>
    <w:rsid w:val="003C6767"/>
    <w:rsid w:val="003D300E"/>
    <w:rsid w:val="003D65BD"/>
    <w:rsid w:val="003E1D5D"/>
    <w:rsid w:val="003E3539"/>
    <w:rsid w:val="003E4E26"/>
    <w:rsid w:val="003E4E4D"/>
    <w:rsid w:val="003E4F2A"/>
    <w:rsid w:val="003E5030"/>
    <w:rsid w:val="003E6520"/>
    <w:rsid w:val="003F5088"/>
    <w:rsid w:val="003F5EB8"/>
    <w:rsid w:val="00405439"/>
    <w:rsid w:val="00405A82"/>
    <w:rsid w:val="00405CE5"/>
    <w:rsid w:val="004204F4"/>
    <w:rsid w:val="00422A96"/>
    <w:rsid w:val="00423318"/>
    <w:rsid w:val="004244E7"/>
    <w:rsid w:val="00427E21"/>
    <w:rsid w:val="0043171A"/>
    <w:rsid w:val="0043303B"/>
    <w:rsid w:val="00433CA2"/>
    <w:rsid w:val="00434892"/>
    <w:rsid w:val="00435BF4"/>
    <w:rsid w:val="004401FB"/>
    <w:rsid w:val="004418AA"/>
    <w:rsid w:val="0044397D"/>
    <w:rsid w:val="004445F4"/>
    <w:rsid w:val="004451EB"/>
    <w:rsid w:val="00445829"/>
    <w:rsid w:val="00445ED2"/>
    <w:rsid w:val="004507E2"/>
    <w:rsid w:val="00453787"/>
    <w:rsid w:val="004605EE"/>
    <w:rsid w:val="004608C3"/>
    <w:rsid w:val="004631A6"/>
    <w:rsid w:val="00466B5B"/>
    <w:rsid w:val="004676C9"/>
    <w:rsid w:val="00467B15"/>
    <w:rsid w:val="004707B0"/>
    <w:rsid w:val="00477487"/>
    <w:rsid w:val="00477934"/>
    <w:rsid w:val="0047793E"/>
    <w:rsid w:val="004816A5"/>
    <w:rsid w:val="00483D2B"/>
    <w:rsid w:val="00484E97"/>
    <w:rsid w:val="00486884"/>
    <w:rsid w:val="00487CC5"/>
    <w:rsid w:val="00493A71"/>
    <w:rsid w:val="00494B87"/>
    <w:rsid w:val="004957A1"/>
    <w:rsid w:val="00496B88"/>
    <w:rsid w:val="004A00FF"/>
    <w:rsid w:val="004A3BA4"/>
    <w:rsid w:val="004A4F3B"/>
    <w:rsid w:val="004B0037"/>
    <w:rsid w:val="004B562C"/>
    <w:rsid w:val="004C2E3E"/>
    <w:rsid w:val="004C40FA"/>
    <w:rsid w:val="004C5B93"/>
    <w:rsid w:val="004C6DB6"/>
    <w:rsid w:val="004C74FF"/>
    <w:rsid w:val="004D213C"/>
    <w:rsid w:val="004D245D"/>
    <w:rsid w:val="004D40E3"/>
    <w:rsid w:val="004D4DBB"/>
    <w:rsid w:val="004E1E0C"/>
    <w:rsid w:val="004E2AED"/>
    <w:rsid w:val="004E4342"/>
    <w:rsid w:val="004F0D85"/>
    <w:rsid w:val="004F16E2"/>
    <w:rsid w:val="004F6E2E"/>
    <w:rsid w:val="004F7B3D"/>
    <w:rsid w:val="00501511"/>
    <w:rsid w:val="005032B3"/>
    <w:rsid w:val="00503D80"/>
    <w:rsid w:val="005051F7"/>
    <w:rsid w:val="005064A3"/>
    <w:rsid w:val="00507F0C"/>
    <w:rsid w:val="00510776"/>
    <w:rsid w:val="005208FD"/>
    <w:rsid w:val="00521E90"/>
    <w:rsid w:val="00525D87"/>
    <w:rsid w:val="00526C94"/>
    <w:rsid w:val="00530F3D"/>
    <w:rsid w:val="00532E13"/>
    <w:rsid w:val="005349D0"/>
    <w:rsid w:val="005404FA"/>
    <w:rsid w:val="0054197A"/>
    <w:rsid w:val="00543499"/>
    <w:rsid w:val="00545070"/>
    <w:rsid w:val="00546429"/>
    <w:rsid w:val="005469B9"/>
    <w:rsid w:val="0055219F"/>
    <w:rsid w:val="00556961"/>
    <w:rsid w:val="0056067A"/>
    <w:rsid w:val="005633BC"/>
    <w:rsid w:val="00567E0F"/>
    <w:rsid w:val="0057024B"/>
    <w:rsid w:val="005732E5"/>
    <w:rsid w:val="00573480"/>
    <w:rsid w:val="005745F8"/>
    <w:rsid w:val="005764AC"/>
    <w:rsid w:val="00576686"/>
    <w:rsid w:val="00577E41"/>
    <w:rsid w:val="00585A8D"/>
    <w:rsid w:val="00586207"/>
    <w:rsid w:val="00586956"/>
    <w:rsid w:val="005870C7"/>
    <w:rsid w:val="0059272A"/>
    <w:rsid w:val="00592CAD"/>
    <w:rsid w:val="00595D7E"/>
    <w:rsid w:val="00596C0F"/>
    <w:rsid w:val="005A0913"/>
    <w:rsid w:val="005A25BE"/>
    <w:rsid w:val="005A7EFA"/>
    <w:rsid w:val="005B159F"/>
    <w:rsid w:val="005B2A40"/>
    <w:rsid w:val="005B2F60"/>
    <w:rsid w:val="005B3367"/>
    <w:rsid w:val="005B4CD0"/>
    <w:rsid w:val="005B7C9D"/>
    <w:rsid w:val="005C0496"/>
    <w:rsid w:val="005C21CE"/>
    <w:rsid w:val="005C2442"/>
    <w:rsid w:val="005C323C"/>
    <w:rsid w:val="005C5A8B"/>
    <w:rsid w:val="005D08C5"/>
    <w:rsid w:val="005D0F98"/>
    <w:rsid w:val="005D34CD"/>
    <w:rsid w:val="005E1492"/>
    <w:rsid w:val="005E3691"/>
    <w:rsid w:val="005E519D"/>
    <w:rsid w:val="005E59F2"/>
    <w:rsid w:val="005E5B8B"/>
    <w:rsid w:val="005E7A7E"/>
    <w:rsid w:val="005F294B"/>
    <w:rsid w:val="005F3DB6"/>
    <w:rsid w:val="005F43D2"/>
    <w:rsid w:val="00601837"/>
    <w:rsid w:val="0060308C"/>
    <w:rsid w:val="00607EC8"/>
    <w:rsid w:val="00612FB9"/>
    <w:rsid w:val="0061306F"/>
    <w:rsid w:val="00613709"/>
    <w:rsid w:val="0061461F"/>
    <w:rsid w:val="00617961"/>
    <w:rsid w:val="006229DA"/>
    <w:rsid w:val="00622B0E"/>
    <w:rsid w:val="0062411D"/>
    <w:rsid w:val="006272BF"/>
    <w:rsid w:val="006276FB"/>
    <w:rsid w:val="006318BC"/>
    <w:rsid w:val="00635063"/>
    <w:rsid w:val="006419D3"/>
    <w:rsid w:val="0064491F"/>
    <w:rsid w:val="00646287"/>
    <w:rsid w:val="00647623"/>
    <w:rsid w:val="0066367B"/>
    <w:rsid w:val="0066473B"/>
    <w:rsid w:val="00667038"/>
    <w:rsid w:val="0067256E"/>
    <w:rsid w:val="006738F5"/>
    <w:rsid w:val="00677982"/>
    <w:rsid w:val="00680586"/>
    <w:rsid w:val="00681204"/>
    <w:rsid w:val="00682849"/>
    <w:rsid w:val="006831E2"/>
    <w:rsid w:val="00686116"/>
    <w:rsid w:val="006864E8"/>
    <w:rsid w:val="00686BE0"/>
    <w:rsid w:val="006924B3"/>
    <w:rsid w:val="006936E1"/>
    <w:rsid w:val="00694037"/>
    <w:rsid w:val="00694186"/>
    <w:rsid w:val="0069453A"/>
    <w:rsid w:val="00697436"/>
    <w:rsid w:val="00697EA6"/>
    <w:rsid w:val="006A249A"/>
    <w:rsid w:val="006A7332"/>
    <w:rsid w:val="006B0F30"/>
    <w:rsid w:val="006B38E2"/>
    <w:rsid w:val="006B5049"/>
    <w:rsid w:val="006B5A2E"/>
    <w:rsid w:val="006B61CB"/>
    <w:rsid w:val="006B68D8"/>
    <w:rsid w:val="006B7203"/>
    <w:rsid w:val="006C101C"/>
    <w:rsid w:val="006C122E"/>
    <w:rsid w:val="006C1C66"/>
    <w:rsid w:val="006C1E82"/>
    <w:rsid w:val="006D3ED2"/>
    <w:rsid w:val="006D40A0"/>
    <w:rsid w:val="006D43D5"/>
    <w:rsid w:val="006D5282"/>
    <w:rsid w:val="006E2B0A"/>
    <w:rsid w:val="006F266F"/>
    <w:rsid w:val="006F2EA4"/>
    <w:rsid w:val="006F357E"/>
    <w:rsid w:val="006F504D"/>
    <w:rsid w:val="006F7509"/>
    <w:rsid w:val="006F7CCC"/>
    <w:rsid w:val="00705385"/>
    <w:rsid w:val="00705AFC"/>
    <w:rsid w:val="00716BA5"/>
    <w:rsid w:val="007208A8"/>
    <w:rsid w:val="00723759"/>
    <w:rsid w:val="00723B50"/>
    <w:rsid w:val="0072642D"/>
    <w:rsid w:val="00726487"/>
    <w:rsid w:val="00727460"/>
    <w:rsid w:val="007330E5"/>
    <w:rsid w:val="007347CB"/>
    <w:rsid w:val="00736624"/>
    <w:rsid w:val="00736F5F"/>
    <w:rsid w:val="00737349"/>
    <w:rsid w:val="00740382"/>
    <w:rsid w:val="00740AE7"/>
    <w:rsid w:val="00743A27"/>
    <w:rsid w:val="00743EBF"/>
    <w:rsid w:val="00745CA8"/>
    <w:rsid w:val="00746119"/>
    <w:rsid w:val="00750293"/>
    <w:rsid w:val="007507D4"/>
    <w:rsid w:val="00752814"/>
    <w:rsid w:val="00753E7B"/>
    <w:rsid w:val="0076026B"/>
    <w:rsid w:val="00760F3C"/>
    <w:rsid w:val="00762F16"/>
    <w:rsid w:val="00765038"/>
    <w:rsid w:val="00767205"/>
    <w:rsid w:val="007720A0"/>
    <w:rsid w:val="0077211A"/>
    <w:rsid w:val="00780130"/>
    <w:rsid w:val="00781EF7"/>
    <w:rsid w:val="007837CA"/>
    <w:rsid w:val="00784C9C"/>
    <w:rsid w:val="007850FC"/>
    <w:rsid w:val="00786143"/>
    <w:rsid w:val="00786F22"/>
    <w:rsid w:val="00796352"/>
    <w:rsid w:val="007A1EEF"/>
    <w:rsid w:val="007A1EFE"/>
    <w:rsid w:val="007A1FF6"/>
    <w:rsid w:val="007A2B9D"/>
    <w:rsid w:val="007A52D8"/>
    <w:rsid w:val="007A7C93"/>
    <w:rsid w:val="007B0223"/>
    <w:rsid w:val="007B0720"/>
    <w:rsid w:val="007B160B"/>
    <w:rsid w:val="007B4553"/>
    <w:rsid w:val="007B4C94"/>
    <w:rsid w:val="007B7464"/>
    <w:rsid w:val="007C2A45"/>
    <w:rsid w:val="007C2B0B"/>
    <w:rsid w:val="007C429E"/>
    <w:rsid w:val="007C4577"/>
    <w:rsid w:val="007C5D75"/>
    <w:rsid w:val="007C76D7"/>
    <w:rsid w:val="007C7F56"/>
    <w:rsid w:val="007D00C7"/>
    <w:rsid w:val="007D03E2"/>
    <w:rsid w:val="007D0D19"/>
    <w:rsid w:val="007D33F7"/>
    <w:rsid w:val="007D34DB"/>
    <w:rsid w:val="007D4A0E"/>
    <w:rsid w:val="007D66D0"/>
    <w:rsid w:val="007D6A4E"/>
    <w:rsid w:val="007E012B"/>
    <w:rsid w:val="007E05F0"/>
    <w:rsid w:val="007E0C95"/>
    <w:rsid w:val="007E4640"/>
    <w:rsid w:val="007E6EF2"/>
    <w:rsid w:val="007E76CB"/>
    <w:rsid w:val="007F1146"/>
    <w:rsid w:val="007F1166"/>
    <w:rsid w:val="007F1C76"/>
    <w:rsid w:val="007F2498"/>
    <w:rsid w:val="007F55A1"/>
    <w:rsid w:val="007F5AF7"/>
    <w:rsid w:val="007F7BA8"/>
    <w:rsid w:val="00800631"/>
    <w:rsid w:val="008056CD"/>
    <w:rsid w:val="00807523"/>
    <w:rsid w:val="0080795B"/>
    <w:rsid w:val="00810A69"/>
    <w:rsid w:val="0081199A"/>
    <w:rsid w:val="008177C1"/>
    <w:rsid w:val="00820710"/>
    <w:rsid w:val="00820F9F"/>
    <w:rsid w:val="00822F11"/>
    <w:rsid w:val="008242E8"/>
    <w:rsid w:val="00824CE4"/>
    <w:rsid w:val="008256FC"/>
    <w:rsid w:val="008305F7"/>
    <w:rsid w:val="0083125D"/>
    <w:rsid w:val="008346E7"/>
    <w:rsid w:val="00834A42"/>
    <w:rsid w:val="00836BE5"/>
    <w:rsid w:val="008405E7"/>
    <w:rsid w:val="00844911"/>
    <w:rsid w:val="00845932"/>
    <w:rsid w:val="0084713E"/>
    <w:rsid w:val="00851529"/>
    <w:rsid w:val="0085659B"/>
    <w:rsid w:val="008573B9"/>
    <w:rsid w:val="00857411"/>
    <w:rsid w:val="0085759C"/>
    <w:rsid w:val="008670A0"/>
    <w:rsid w:val="0087105C"/>
    <w:rsid w:val="008821DE"/>
    <w:rsid w:val="00885504"/>
    <w:rsid w:val="00891CC2"/>
    <w:rsid w:val="0089525D"/>
    <w:rsid w:val="00896338"/>
    <w:rsid w:val="008A3797"/>
    <w:rsid w:val="008A4217"/>
    <w:rsid w:val="008A471B"/>
    <w:rsid w:val="008A6418"/>
    <w:rsid w:val="008A6C12"/>
    <w:rsid w:val="008A6DE4"/>
    <w:rsid w:val="008B19D8"/>
    <w:rsid w:val="008B55D5"/>
    <w:rsid w:val="008B64B2"/>
    <w:rsid w:val="008C2E16"/>
    <w:rsid w:val="008C596F"/>
    <w:rsid w:val="008C7D42"/>
    <w:rsid w:val="008D0A7B"/>
    <w:rsid w:val="008D1888"/>
    <w:rsid w:val="008D1963"/>
    <w:rsid w:val="008D1AD6"/>
    <w:rsid w:val="008D3E27"/>
    <w:rsid w:val="008D4BC1"/>
    <w:rsid w:val="008D4F21"/>
    <w:rsid w:val="008D5B9A"/>
    <w:rsid w:val="008D6908"/>
    <w:rsid w:val="008E03C0"/>
    <w:rsid w:val="008E1495"/>
    <w:rsid w:val="008E2588"/>
    <w:rsid w:val="008F3F96"/>
    <w:rsid w:val="008F4AAD"/>
    <w:rsid w:val="008F692A"/>
    <w:rsid w:val="008F7DED"/>
    <w:rsid w:val="00906020"/>
    <w:rsid w:val="009072BF"/>
    <w:rsid w:val="00907A68"/>
    <w:rsid w:val="0091513D"/>
    <w:rsid w:val="00916B84"/>
    <w:rsid w:val="0092216A"/>
    <w:rsid w:val="00923649"/>
    <w:rsid w:val="00923BF3"/>
    <w:rsid w:val="009247CD"/>
    <w:rsid w:val="00931F11"/>
    <w:rsid w:val="009326A8"/>
    <w:rsid w:val="00933580"/>
    <w:rsid w:val="00934019"/>
    <w:rsid w:val="009349BB"/>
    <w:rsid w:val="009353B9"/>
    <w:rsid w:val="00937689"/>
    <w:rsid w:val="00941016"/>
    <w:rsid w:val="009414E8"/>
    <w:rsid w:val="00941C8E"/>
    <w:rsid w:val="0094353C"/>
    <w:rsid w:val="0094640B"/>
    <w:rsid w:val="009602E5"/>
    <w:rsid w:val="009605A6"/>
    <w:rsid w:val="00962009"/>
    <w:rsid w:val="009651B3"/>
    <w:rsid w:val="009653E6"/>
    <w:rsid w:val="009660CD"/>
    <w:rsid w:val="0097072D"/>
    <w:rsid w:val="0097277A"/>
    <w:rsid w:val="00972B99"/>
    <w:rsid w:val="00974EDD"/>
    <w:rsid w:val="009751D7"/>
    <w:rsid w:val="009769CE"/>
    <w:rsid w:val="00977814"/>
    <w:rsid w:val="0098130F"/>
    <w:rsid w:val="0098138F"/>
    <w:rsid w:val="0098335E"/>
    <w:rsid w:val="00985782"/>
    <w:rsid w:val="0098782F"/>
    <w:rsid w:val="00990252"/>
    <w:rsid w:val="0099254E"/>
    <w:rsid w:val="0099305F"/>
    <w:rsid w:val="009944E6"/>
    <w:rsid w:val="00994F42"/>
    <w:rsid w:val="009A2B5F"/>
    <w:rsid w:val="009A5D93"/>
    <w:rsid w:val="009A699C"/>
    <w:rsid w:val="009A6D43"/>
    <w:rsid w:val="009B198F"/>
    <w:rsid w:val="009B26C1"/>
    <w:rsid w:val="009B4AB7"/>
    <w:rsid w:val="009B7194"/>
    <w:rsid w:val="009C6D55"/>
    <w:rsid w:val="009C7313"/>
    <w:rsid w:val="009D3954"/>
    <w:rsid w:val="009E0457"/>
    <w:rsid w:val="009E095B"/>
    <w:rsid w:val="009E29F7"/>
    <w:rsid w:val="009E3802"/>
    <w:rsid w:val="009E4723"/>
    <w:rsid w:val="009E5D52"/>
    <w:rsid w:val="009F0C47"/>
    <w:rsid w:val="009F54EC"/>
    <w:rsid w:val="009F66D6"/>
    <w:rsid w:val="00A04345"/>
    <w:rsid w:val="00A04845"/>
    <w:rsid w:val="00A06AD1"/>
    <w:rsid w:val="00A13B47"/>
    <w:rsid w:val="00A14340"/>
    <w:rsid w:val="00A15423"/>
    <w:rsid w:val="00A21D55"/>
    <w:rsid w:val="00A27092"/>
    <w:rsid w:val="00A27BF9"/>
    <w:rsid w:val="00A31DD0"/>
    <w:rsid w:val="00A359E5"/>
    <w:rsid w:val="00A36D6C"/>
    <w:rsid w:val="00A407CF"/>
    <w:rsid w:val="00A46CED"/>
    <w:rsid w:val="00A47DC7"/>
    <w:rsid w:val="00A528B7"/>
    <w:rsid w:val="00A535B9"/>
    <w:rsid w:val="00A53685"/>
    <w:rsid w:val="00A57DB0"/>
    <w:rsid w:val="00A62CC0"/>
    <w:rsid w:val="00A6321B"/>
    <w:rsid w:val="00A64D89"/>
    <w:rsid w:val="00A65778"/>
    <w:rsid w:val="00A6615D"/>
    <w:rsid w:val="00A73DC6"/>
    <w:rsid w:val="00A748EB"/>
    <w:rsid w:val="00A75FCC"/>
    <w:rsid w:val="00A7771D"/>
    <w:rsid w:val="00A805F1"/>
    <w:rsid w:val="00A811B0"/>
    <w:rsid w:val="00A81D51"/>
    <w:rsid w:val="00A83ABD"/>
    <w:rsid w:val="00A843F9"/>
    <w:rsid w:val="00A84B5F"/>
    <w:rsid w:val="00A86B2E"/>
    <w:rsid w:val="00A87F59"/>
    <w:rsid w:val="00A906E6"/>
    <w:rsid w:val="00A9098C"/>
    <w:rsid w:val="00A90EFD"/>
    <w:rsid w:val="00A9107B"/>
    <w:rsid w:val="00AA4BE3"/>
    <w:rsid w:val="00AA6510"/>
    <w:rsid w:val="00AA7AA3"/>
    <w:rsid w:val="00AB24DE"/>
    <w:rsid w:val="00AB2B0B"/>
    <w:rsid w:val="00AB4257"/>
    <w:rsid w:val="00AB74F1"/>
    <w:rsid w:val="00AB7704"/>
    <w:rsid w:val="00AB7C7F"/>
    <w:rsid w:val="00AC0771"/>
    <w:rsid w:val="00AC0FE0"/>
    <w:rsid w:val="00AC51B8"/>
    <w:rsid w:val="00AC58D8"/>
    <w:rsid w:val="00AC68B4"/>
    <w:rsid w:val="00AC7300"/>
    <w:rsid w:val="00AD0045"/>
    <w:rsid w:val="00AD372B"/>
    <w:rsid w:val="00AD5C03"/>
    <w:rsid w:val="00AD65A3"/>
    <w:rsid w:val="00AD7AF8"/>
    <w:rsid w:val="00AD7DBE"/>
    <w:rsid w:val="00AE054D"/>
    <w:rsid w:val="00AE2518"/>
    <w:rsid w:val="00AE2FC4"/>
    <w:rsid w:val="00AE4C52"/>
    <w:rsid w:val="00AE52C3"/>
    <w:rsid w:val="00AE7881"/>
    <w:rsid w:val="00AF2050"/>
    <w:rsid w:val="00AF22A5"/>
    <w:rsid w:val="00AF451D"/>
    <w:rsid w:val="00AF4A72"/>
    <w:rsid w:val="00AF576F"/>
    <w:rsid w:val="00AF6801"/>
    <w:rsid w:val="00AF7545"/>
    <w:rsid w:val="00AF778D"/>
    <w:rsid w:val="00B054B9"/>
    <w:rsid w:val="00B10622"/>
    <w:rsid w:val="00B10C24"/>
    <w:rsid w:val="00B15A2F"/>
    <w:rsid w:val="00B207F4"/>
    <w:rsid w:val="00B213F5"/>
    <w:rsid w:val="00B21FB0"/>
    <w:rsid w:val="00B25BF0"/>
    <w:rsid w:val="00B30404"/>
    <w:rsid w:val="00B335D0"/>
    <w:rsid w:val="00B33B3A"/>
    <w:rsid w:val="00B34569"/>
    <w:rsid w:val="00B347EC"/>
    <w:rsid w:val="00B3642A"/>
    <w:rsid w:val="00B36C4F"/>
    <w:rsid w:val="00B40398"/>
    <w:rsid w:val="00B407D6"/>
    <w:rsid w:val="00B45536"/>
    <w:rsid w:val="00B51D2A"/>
    <w:rsid w:val="00B52700"/>
    <w:rsid w:val="00B52810"/>
    <w:rsid w:val="00B55005"/>
    <w:rsid w:val="00B572CD"/>
    <w:rsid w:val="00B646F8"/>
    <w:rsid w:val="00B70912"/>
    <w:rsid w:val="00B734AD"/>
    <w:rsid w:val="00B753DB"/>
    <w:rsid w:val="00B77B7B"/>
    <w:rsid w:val="00B82F4D"/>
    <w:rsid w:val="00B85614"/>
    <w:rsid w:val="00B953CE"/>
    <w:rsid w:val="00B95501"/>
    <w:rsid w:val="00B95A0A"/>
    <w:rsid w:val="00B95C1D"/>
    <w:rsid w:val="00B975E4"/>
    <w:rsid w:val="00BA6312"/>
    <w:rsid w:val="00BA6A91"/>
    <w:rsid w:val="00BA6A9D"/>
    <w:rsid w:val="00BB0039"/>
    <w:rsid w:val="00BB12E1"/>
    <w:rsid w:val="00BB3185"/>
    <w:rsid w:val="00BB3A75"/>
    <w:rsid w:val="00BB5F07"/>
    <w:rsid w:val="00BB7A42"/>
    <w:rsid w:val="00BC1066"/>
    <w:rsid w:val="00BC3580"/>
    <w:rsid w:val="00BC3F9D"/>
    <w:rsid w:val="00BC5C17"/>
    <w:rsid w:val="00BD7F07"/>
    <w:rsid w:val="00BE301B"/>
    <w:rsid w:val="00BE3F76"/>
    <w:rsid w:val="00BE510B"/>
    <w:rsid w:val="00BE6D52"/>
    <w:rsid w:val="00BF15D9"/>
    <w:rsid w:val="00BF226B"/>
    <w:rsid w:val="00BF30FC"/>
    <w:rsid w:val="00BF690B"/>
    <w:rsid w:val="00C06B12"/>
    <w:rsid w:val="00C11AAA"/>
    <w:rsid w:val="00C11B90"/>
    <w:rsid w:val="00C157FD"/>
    <w:rsid w:val="00C16A27"/>
    <w:rsid w:val="00C20A5C"/>
    <w:rsid w:val="00C24F10"/>
    <w:rsid w:val="00C25177"/>
    <w:rsid w:val="00C3110B"/>
    <w:rsid w:val="00C33CAD"/>
    <w:rsid w:val="00C4012E"/>
    <w:rsid w:val="00C41525"/>
    <w:rsid w:val="00C422A4"/>
    <w:rsid w:val="00C42AA7"/>
    <w:rsid w:val="00C43B72"/>
    <w:rsid w:val="00C444E4"/>
    <w:rsid w:val="00C449A6"/>
    <w:rsid w:val="00C467E0"/>
    <w:rsid w:val="00C46EBC"/>
    <w:rsid w:val="00C47097"/>
    <w:rsid w:val="00C5465D"/>
    <w:rsid w:val="00C56C3C"/>
    <w:rsid w:val="00C57C51"/>
    <w:rsid w:val="00C60F15"/>
    <w:rsid w:val="00C64080"/>
    <w:rsid w:val="00C66817"/>
    <w:rsid w:val="00C66C38"/>
    <w:rsid w:val="00C71555"/>
    <w:rsid w:val="00C73145"/>
    <w:rsid w:val="00C75B7A"/>
    <w:rsid w:val="00C8071C"/>
    <w:rsid w:val="00C84D4F"/>
    <w:rsid w:val="00C8573A"/>
    <w:rsid w:val="00C8574B"/>
    <w:rsid w:val="00C91A0A"/>
    <w:rsid w:val="00C93AFC"/>
    <w:rsid w:val="00C96832"/>
    <w:rsid w:val="00CA012F"/>
    <w:rsid w:val="00CA03BF"/>
    <w:rsid w:val="00CA3C15"/>
    <w:rsid w:val="00CA5CAD"/>
    <w:rsid w:val="00CA6D45"/>
    <w:rsid w:val="00CA7139"/>
    <w:rsid w:val="00CB1668"/>
    <w:rsid w:val="00CB319D"/>
    <w:rsid w:val="00CB3A0C"/>
    <w:rsid w:val="00CB45AF"/>
    <w:rsid w:val="00CB79C1"/>
    <w:rsid w:val="00CC5379"/>
    <w:rsid w:val="00CC64EC"/>
    <w:rsid w:val="00CC798E"/>
    <w:rsid w:val="00CC7B78"/>
    <w:rsid w:val="00CD00F8"/>
    <w:rsid w:val="00CD0322"/>
    <w:rsid w:val="00CD0EA6"/>
    <w:rsid w:val="00CD128F"/>
    <w:rsid w:val="00CE1FBD"/>
    <w:rsid w:val="00CE58F4"/>
    <w:rsid w:val="00CE6CC5"/>
    <w:rsid w:val="00CE7E2F"/>
    <w:rsid w:val="00CF0978"/>
    <w:rsid w:val="00CF411D"/>
    <w:rsid w:val="00CF4B44"/>
    <w:rsid w:val="00CF6B71"/>
    <w:rsid w:val="00D00A92"/>
    <w:rsid w:val="00D011A0"/>
    <w:rsid w:val="00D01EC8"/>
    <w:rsid w:val="00D02627"/>
    <w:rsid w:val="00D03C8E"/>
    <w:rsid w:val="00D06CA6"/>
    <w:rsid w:val="00D14A98"/>
    <w:rsid w:val="00D15E3E"/>
    <w:rsid w:val="00D160C5"/>
    <w:rsid w:val="00D17BDE"/>
    <w:rsid w:val="00D2018D"/>
    <w:rsid w:val="00D25BAE"/>
    <w:rsid w:val="00D25FBB"/>
    <w:rsid w:val="00D27774"/>
    <w:rsid w:val="00D307E9"/>
    <w:rsid w:val="00D32C98"/>
    <w:rsid w:val="00D352BA"/>
    <w:rsid w:val="00D35CBA"/>
    <w:rsid w:val="00D3704D"/>
    <w:rsid w:val="00D37050"/>
    <w:rsid w:val="00D46C3A"/>
    <w:rsid w:val="00D46CCF"/>
    <w:rsid w:val="00D46D2E"/>
    <w:rsid w:val="00D5186D"/>
    <w:rsid w:val="00D52922"/>
    <w:rsid w:val="00D54E2B"/>
    <w:rsid w:val="00D54E5B"/>
    <w:rsid w:val="00D557AA"/>
    <w:rsid w:val="00D560FD"/>
    <w:rsid w:val="00D57D9D"/>
    <w:rsid w:val="00D60D32"/>
    <w:rsid w:val="00D60D8E"/>
    <w:rsid w:val="00D62F33"/>
    <w:rsid w:val="00D63939"/>
    <w:rsid w:val="00D63BD2"/>
    <w:rsid w:val="00D645B2"/>
    <w:rsid w:val="00D65083"/>
    <w:rsid w:val="00D659F4"/>
    <w:rsid w:val="00D6636D"/>
    <w:rsid w:val="00D66533"/>
    <w:rsid w:val="00D71824"/>
    <w:rsid w:val="00D74151"/>
    <w:rsid w:val="00D76271"/>
    <w:rsid w:val="00D805DC"/>
    <w:rsid w:val="00D821B7"/>
    <w:rsid w:val="00D8220E"/>
    <w:rsid w:val="00D848F2"/>
    <w:rsid w:val="00D851E8"/>
    <w:rsid w:val="00D87E7B"/>
    <w:rsid w:val="00D91584"/>
    <w:rsid w:val="00D94B56"/>
    <w:rsid w:val="00D96AFC"/>
    <w:rsid w:val="00D9741A"/>
    <w:rsid w:val="00D9765C"/>
    <w:rsid w:val="00DA7B69"/>
    <w:rsid w:val="00DB0CA4"/>
    <w:rsid w:val="00DB14B6"/>
    <w:rsid w:val="00DB3773"/>
    <w:rsid w:val="00DB541E"/>
    <w:rsid w:val="00DC0E0D"/>
    <w:rsid w:val="00DC1E24"/>
    <w:rsid w:val="00DC2E50"/>
    <w:rsid w:val="00DC6B3D"/>
    <w:rsid w:val="00DC6FF1"/>
    <w:rsid w:val="00DD0E16"/>
    <w:rsid w:val="00DD241D"/>
    <w:rsid w:val="00DD42AA"/>
    <w:rsid w:val="00DD5DB1"/>
    <w:rsid w:val="00DE1C6D"/>
    <w:rsid w:val="00DE292D"/>
    <w:rsid w:val="00DE46CF"/>
    <w:rsid w:val="00DE5BE3"/>
    <w:rsid w:val="00DE5C71"/>
    <w:rsid w:val="00DE60AD"/>
    <w:rsid w:val="00DE70E3"/>
    <w:rsid w:val="00DF2759"/>
    <w:rsid w:val="00DF2D8E"/>
    <w:rsid w:val="00DF5249"/>
    <w:rsid w:val="00DF5360"/>
    <w:rsid w:val="00DF6CCF"/>
    <w:rsid w:val="00DF7F81"/>
    <w:rsid w:val="00E002DC"/>
    <w:rsid w:val="00E010D9"/>
    <w:rsid w:val="00E03BEA"/>
    <w:rsid w:val="00E04D09"/>
    <w:rsid w:val="00E04D0E"/>
    <w:rsid w:val="00E05756"/>
    <w:rsid w:val="00E10C87"/>
    <w:rsid w:val="00E132AB"/>
    <w:rsid w:val="00E15480"/>
    <w:rsid w:val="00E15DB8"/>
    <w:rsid w:val="00E16AE2"/>
    <w:rsid w:val="00E20290"/>
    <w:rsid w:val="00E20420"/>
    <w:rsid w:val="00E213C3"/>
    <w:rsid w:val="00E21E94"/>
    <w:rsid w:val="00E23DB4"/>
    <w:rsid w:val="00E27893"/>
    <w:rsid w:val="00E30D47"/>
    <w:rsid w:val="00E31275"/>
    <w:rsid w:val="00E31BD4"/>
    <w:rsid w:val="00E37214"/>
    <w:rsid w:val="00E37DFD"/>
    <w:rsid w:val="00E37FBA"/>
    <w:rsid w:val="00E42233"/>
    <w:rsid w:val="00E43A7E"/>
    <w:rsid w:val="00E43BF9"/>
    <w:rsid w:val="00E43FF9"/>
    <w:rsid w:val="00E44703"/>
    <w:rsid w:val="00E44DFB"/>
    <w:rsid w:val="00E507B6"/>
    <w:rsid w:val="00E52844"/>
    <w:rsid w:val="00E52A1D"/>
    <w:rsid w:val="00E53243"/>
    <w:rsid w:val="00E53D5F"/>
    <w:rsid w:val="00E554B8"/>
    <w:rsid w:val="00E5676E"/>
    <w:rsid w:val="00E57CD0"/>
    <w:rsid w:val="00E57DC7"/>
    <w:rsid w:val="00E606C9"/>
    <w:rsid w:val="00E60B95"/>
    <w:rsid w:val="00E617FA"/>
    <w:rsid w:val="00E63DDC"/>
    <w:rsid w:val="00E651E6"/>
    <w:rsid w:val="00E66D0F"/>
    <w:rsid w:val="00E67D6F"/>
    <w:rsid w:val="00E7039F"/>
    <w:rsid w:val="00E74009"/>
    <w:rsid w:val="00E76493"/>
    <w:rsid w:val="00E805E3"/>
    <w:rsid w:val="00E85D12"/>
    <w:rsid w:val="00E94ED8"/>
    <w:rsid w:val="00E9613C"/>
    <w:rsid w:val="00EA016E"/>
    <w:rsid w:val="00EA4614"/>
    <w:rsid w:val="00EA4C25"/>
    <w:rsid w:val="00EA6992"/>
    <w:rsid w:val="00EB233F"/>
    <w:rsid w:val="00EB2BFA"/>
    <w:rsid w:val="00EB38A0"/>
    <w:rsid w:val="00EB5243"/>
    <w:rsid w:val="00EC14BF"/>
    <w:rsid w:val="00EC2838"/>
    <w:rsid w:val="00EC297D"/>
    <w:rsid w:val="00EC35E1"/>
    <w:rsid w:val="00ED16CD"/>
    <w:rsid w:val="00ED1DB1"/>
    <w:rsid w:val="00ED223C"/>
    <w:rsid w:val="00ED4AB8"/>
    <w:rsid w:val="00ED598A"/>
    <w:rsid w:val="00EE579D"/>
    <w:rsid w:val="00EE77F9"/>
    <w:rsid w:val="00EF0988"/>
    <w:rsid w:val="00EF20A0"/>
    <w:rsid w:val="00EF2975"/>
    <w:rsid w:val="00EF4DB4"/>
    <w:rsid w:val="00EF5927"/>
    <w:rsid w:val="00EF5D62"/>
    <w:rsid w:val="00EF5D84"/>
    <w:rsid w:val="00EF6B6B"/>
    <w:rsid w:val="00EF7C44"/>
    <w:rsid w:val="00EF7F34"/>
    <w:rsid w:val="00F02800"/>
    <w:rsid w:val="00F10C4A"/>
    <w:rsid w:val="00F11679"/>
    <w:rsid w:val="00F13E03"/>
    <w:rsid w:val="00F15359"/>
    <w:rsid w:val="00F16AC8"/>
    <w:rsid w:val="00F20850"/>
    <w:rsid w:val="00F23532"/>
    <w:rsid w:val="00F2468B"/>
    <w:rsid w:val="00F25114"/>
    <w:rsid w:val="00F272D2"/>
    <w:rsid w:val="00F324E0"/>
    <w:rsid w:val="00F33FDF"/>
    <w:rsid w:val="00F34170"/>
    <w:rsid w:val="00F35BB1"/>
    <w:rsid w:val="00F367D8"/>
    <w:rsid w:val="00F37241"/>
    <w:rsid w:val="00F401BB"/>
    <w:rsid w:val="00F40517"/>
    <w:rsid w:val="00F42D59"/>
    <w:rsid w:val="00F432EF"/>
    <w:rsid w:val="00F43BEB"/>
    <w:rsid w:val="00F448A0"/>
    <w:rsid w:val="00F46E02"/>
    <w:rsid w:val="00F470A4"/>
    <w:rsid w:val="00F63E00"/>
    <w:rsid w:val="00F8089A"/>
    <w:rsid w:val="00F8096A"/>
    <w:rsid w:val="00F819AA"/>
    <w:rsid w:val="00F84723"/>
    <w:rsid w:val="00F85792"/>
    <w:rsid w:val="00F87DD9"/>
    <w:rsid w:val="00F87EA8"/>
    <w:rsid w:val="00F9135C"/>
    <w:rsid w:val="00F95911"/>
    <w:rsid w:val="00FA10EA"/>
    <w:rsid w:val="00FA202F"/>
    <w:rsid w:val="00FA3F7B"/>
    <w:rsid w:val="00FA6F8A"/>
    <w:rsid w:val="00FA7139"/>
    <w:rsid w:val="00FB0AEE"/>
    <w:rsid w:val="00FB5FB5"/>
    <w:rsid w:val="00FB763C"/>
    <w:rsid w:val="00FC3BBF"/>
    <w:rsid w:val="00FD4A5E"/>
    <w:rsid w:val="00FD68FD"/>
    <w:rsid w:val="00FE35D5"/>
    <w:rsid w:val="00FE50F3"/>
    <w:rsid w:val="00FE5181"/>
    <w:rsid w:val="00FF11C5"/>
    <w:rsid w:val="00FF26DC"/>
    <w:rsid w:val="00FF2E84"/>
    <w:rsid w:val="00FF3D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C1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67A"/>
  </w:style>
  <w:style w:type="paragraph" w:styleId="Heading1">
    <w:name w:val="heading 1"/>
    <w:basedOn w:val="Normal"/>
    <w:next w:val="Normal"/>
    <w:link w:val="Heading1Char"/>
    <w:uiPriority w:val="9"/>
    <w:qFormat/>
    <w:rsid w:val="007E05F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next w:val="Normal"/>
    <w:link w:val="Heading2Char"/>
    <w:uiPriority w:val="9"/>
    <w:unhideWhenUsed/>
    <w:qFormat/>
    <w:rsid w:val="00D25FBB"/>
    <w:pPr>
      <w:keepNext/>
      <w:keepLines/>
      <w:spacing w:after="135"/>
      <w:ind w:left="10" w:hanging="10"/>
      <w:outlineLvl w:val="1"/>
    </w:pPr>
    <w:rPr>
      <w:rFonts w:ascii="Arial" w:eastAsia="Arial" w:hAnsi="Arial" w:cs="Arial"/>
      <w:b/>
      <w:color w:val="005A7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7A"/>
    <w:pPr>
      <w:ind w:left="720"/>
      <w:contextualSpacing/>
    </w:pPr>
  </w:style>
  <w:style w:type="table" w:styleId="TableGrid">
    <w:name w:val="Table Grid"/>
    <w:basedOn w:val="TableNormal"/>
    <w:uiPriority w:val="39"/>
    <w:rsid w:val="009A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1204"/>
    <w:rPr>
      <w:sz w:val="16"/>
      <w:szCs w:val="16"/>
    </w:rPr>
  </w:style>
  <w:style w:type="paragraph" w:styleId="CommentText">
    <w:name w:val="annotation text"/>
    <w:basedOn w:val="Normal"/>
    <w:link w:val="CommentTextChar"/>
    <w:uiPriority w:val="99"/>
    <w:semiHidden/>
    <w:unhideWhenUsed/>
    <w:rsid w:val="00681204"/>
    <w:pPr>
      <w:spacing w:after="31" w:line="240" w:lineRule="auto"/>
      <w:ind w:left="10" w:hanging="10"/>
    </w:pPr>
    <w:rPr>
      <w:rFonts w:ascii="Times New Roman" w:eastAsia="Times New Roman" w:hAnsi="Times New Roman" w:cs="Times New Roman"/>
      <w:color w:val="000000"/>
      <w:sz w:val="20"/>
      <w:szCs w:val="20"/>
      <w:lang w:eastAsia="en-AU"/>
    </w:rPr>
  </w:style>
  <w:style w:type="character" w:customStyle="1" w:styleId="CommentTextChar">
    <w:name w:val="Comment Text Char"/>
    <w:basedOn w:val="DefaultParagraphFont"/>
    <w:link w:val="CommentText"/>
    <w:uiPriority w:val="99"/>
    <w:semiHidden/>
    <w:rsid w:val="00681204"/>
    <w:rPr>
      <w:rFonts w:ascii="Times New Roman" w:eastAsia="Times New Roman" w:hAnsi="Times New Roman" w:cs="Times New Roman"/>
      <w:color w:val="000000"/>
      <w:sz w:val="20"/>
      <w:szCs w:val="20"/>
      <w:lang w:eastAsia="en-AU"/>
    </w:rPr>
  </w:style>
  <w:style w:type="paragraph" w:styleId="BalloonText">
    <w:name w:val="Balloon Text"/>
    <w:basedOn w:val="Normal"/>
    <w:link w:val="BalloonTextChar"/>
    <w:uiPriority w:val="99"/>
    <w:semiHidden/>
    <w:unhideWhenUsed/>
    <w:rsid w:val="00681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04"/>
    <w:rPr>
      <w:rFonts w:ascii="Segoe UI" w:hAnsi="Segoe UI" w:cs="Segoe UI"/>
      <w:sz w:val="18"/>
      <w:szCs w:val="18"/>
    </w:rPr>
  </w:style>
  <w:style w:type="paragraph" w:customStyle="1" w:styleId="Default">
    <w:name w:val="Default"/>
    <w:rsid w:val="00681204"/>
    <w:pPr>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477487"/>
    <w:pPr>
      <w:spacing w:after="160"/>
      <w:ind w:lef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477487"/>
    <w:rPr>
      <w:rFonts w:ascii="Times New Roman" w:eastAsia="Times New Roman" w:hAnsi="Times New Roman" w:cs="Times New Roman"/>
      <w:b/>
      <w:bCs/>
      <w:color w:val="000000"/>
      <w:sz w:val="20"/>
      <w:szCs w:val="20"/>
      <w:lang w:eastAsia="en-AU"/>
    </w:rPr>
  </w:style>
  <w:style w:type="character" w:customStyle="1" w:styleId="Heading2Char">
    <w:name w:val="Heading 2 Char"/>
    <w:basedOn w:val="DefaultParagraphFont"/>
    <w:link w:val="Heading2"/>
    <w:uiPriority w:val="9"/>
    <w:rsid w:val="00D25FBB"/>
    <w:rPr>
      <w:rFonts w:ascii="Arial" w:eastAsia="Arial" w:hAnsi="Arial" w:cs="Arial"/>
      <w:b/>
      <w:color w:val="005A77"/>
      <w:lang w:eastAsia="en-AU"/>
    </w:rPr>
  </w:style>
  <w:style w:type="paragraph" w:styleId="FootnoteText">
    <w:name w:val="footnote text"/>
    <w:basedOn w:val="Normal"/>
    <w:link w:val="FootnoteTextChar"/>
    <w:uiPriority w:val="99"/>
    <w:unhideWhenUsed/>
    <w:qFormat/>
    <w:rsid w:val="0098138F"/>
    <w:pPr>
      <w:spacing w:after="0" w:line="240" w:lineRule="auto"/>
    </w:pPr>
    <w:rPr>
      <w:rFonts w:ascii="Gill Sans MT" w:hAnsi="Gill Sans MT" w:cs="Times New Roman (Body CS)"/>
      <w:sz w:val="20"/>
      <w:szCs w:val="20"/>
    </w:rPr>
  </w:style>
  <w:style w:type="character" w:customStyle="1" w:styleId="FootnoteTextChar">
    <w:name w:val="Footnote Text Char"/>
    <w:basedOn w:val="DefaultParagraphFont"/>
    <w:link w:val="FootnoteText"/>
    <w:uiPriority w:val="99"/>
    <w:rsid w:val="0098138F"/>
    <w:rPr>
      <w:rFonts w:ascii="Gill Sans MT" w:hAnsi="Gill Sans MT" w:cs="Times New Roman (Body CS)"/>
      <w:sz w:val="20"/>
      <w:szCs w:val="20"/>
    </w:rPr>
  </w:style>
  <w:style w:type="character" w:styleId="FootnoteReference">
    <w:name w:val="footnote reference"/>
    <w:basedOn w:val="DefaultParagraphFont"/>
    <w:uiPriority w:val="99"/>
    <w:unhideWhenUsed/>
    <w:rsid w:val="000B57EB"/>
    <w:rPr>
      <w:vertAlign w:val="superscript"/>
    </w:rPr>
  </w:style>
  <w:style w:type="paragraph" w:styleId="NormalWeb">
    <w:name w:val="Normal (Web)"/>
    <w:basedOn w:val="Normal"/>
    <w:uiPriority w:val="99"/>
    <w:unhideWhenUsed/>
    <w:rsid w:val="00D370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A6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418"/>
  </w:style>
  <w:style w:type="paragraph" w:styleId="Footer">
    <w:name w:val="footer"/>
    <w:basedOn w:val="Normal"/>
    <w:link w:val="FooterChar"/>
    <w:uiPriority w:val="99"/>
    <w:unhideWhenUsed/>
    <w:rsid w:val="008A6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418"/>
  </w:style>
  <w:style w:type="character" w:customStyle="1" w:styleId="apple-converted-space">
    <w:name w:val="apple-converted-space"/>
    <w:basedOn w:val="DefaultParagraphFont"/>
    <w:rsid w:val="004676C9"/>
  </w:style>
  <w:style w:type="paragraph" w:styleId="Revision">
    <w:name w:val="Revision"/>
    <w:hidden/>
    <w:uiPriority w:val="99"/>
    <w:semiHidden/>
    <w:rsid w:val="007720A0"/>
    <w:pPr>
      <w:spacing w:after="0" w:line="240" w:lineRule="auto"/>
    </w:pPr>
  </w:style>
  <w:style w:type="character" w:customStyle="1" w:styleId="Heading1Char">
    <w:name w:val="Heading 1 Char"/>
    <w:basedOn w:val="DefaultParagraphFont"/>
    <w:link w:val="Heading1"/>
    <w:uiPriority w:val="9"/>
    <w:rsid w:val="007E05F0"/>
    <w:rPr>
      <w:rFonts w:asciiTheme="majorHAnsi" w:eastAsiaTheme="majorEastAsia" w:hAnsiTheme="majorHAnsi" w:cstheme="majorBidi"/>
      <w:b/>
      <w:bCs/>
      <w:color w:val="2C6EAB" w:themeColor="accent1" w:themeShade="B5"/>
      <w:sz w:val="32"/>
      <w:szCs w:val="32"/>
    </w:rPr>
  </w:style>
  <w:style w:type="paragraph" w:styleId="PlainText">
    <w:name w:val="Plain Text"/>
    <w:basedOn w:val="Normal"/>
    <w:link w:val="PlainTextChar"/>
    <w:uiPriority w:val="99"/>
    <w:semiHidden/>
    <w:unhideWhenUsed/>
    <w:rsid w:val="00C64080"/>
    <w:pPr>
      <w:spacing w:after="0" w:line="240" w:lineRule="auto"/>
    </w:pPr>
    <w:rPr>
      <w:rFonts w:ascii="Calibri" w:hAnsi="Calibri"/>
      <w:szCs w:val="21"/>
      <w:lang w:val="en-NZ"/>
    </w:rPr>
  </w:style>
  <w:style w:type="character" w:customStyle="1" w:styleId="PlainTextChar">
    <w:name w:val="Plain Text Char"/>
    <w:basedOn w:val="DefaultParagraphFont"/>
    <w:link w:val="PlainText"/>
    <w:uiPriority w:val="99"/>
    <w:semiHidden/>
    <w:rsid w:val="00C64080"/>
    <w:rPr>
      <w:rFonts w:ascii="Calibri" w:hAnsi="Calibri"/>
      <w:szCs w:val="21"/>
      <w:lang w:val="en-NZ"/>
    </w:rPr>
  </w:style>
  <w:style w:type="paragraph" w:customStyle="1" w:styleId="rtecenter">
    <w:name w:val="rtecenter"/>
    <w:basedOn w:val="Normal"/>
    <w:rsid w:val="000425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42576"/>
    <w:rPr>
      <w:b/>
      <w:bCs/>
    </w:rPr>
  </w:style>
  <w:style w:type="character" w:styleId="Hyperlink">
    <w:name w:val="Hyperlink"/>
    <w:basedOn w:val="DefaultParagraphFont"/>
    <w:uiPriority w:val="99"/>
    <w:unhideWhenUsed/>
    <w:rsid w:val="00042576"/>
    <w:rPr>
      <w:color w:val="0000FF"/>
      <w:u w:val="single"/>
    </w:rPr>
  </w:style>
  <w:style w:type="paragraph" w:styleId="EndnoteText">
    <w:name w:val="endnote text"/>
    <w:basedOn w:val="Normal"/>
    <w:link w:val="EndnoteTextChar"/>
    <w:uiPriority w:val="99"/>
    <w:semiHidden/>
    <w:unhideWhenUsed/>
    <w:rsid w:val="00981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130F"/>
    <w:rPr>
      <w:sz w:val="20"/>
      <w:szCs w:val="20"/>
    </w:rPr>
  </w:style>
  <w:style w:type="character" w:styleId="EndnoteReference">
    <w:name w:val="endnote reference"/>
    <w:basedOn w:val="DefaultParagraphFont"/>
    <w:uiPriority w:val="99"/>
    <w:semiHidden/>
    <w:unhideWhenUsed/>
    <w:rsid w:val="0098130F"/>
    <w:rPr>
      <w:vertAlign w:val="superscript"/>
    </w:rPr>
  </w:style>
  <w:style w:type="character" w:styleId="Emphasis">
    <w:name w:val="Emphasis"/>
    <w:basedOn w:val="DefaultParagraphFont"/>
    <w:uiPriority w:val="20"/>
    <w:qFormat/>
    <w:rsid w:val="0098130F"/>
    <w:rPr>
      <w:i/>
      <w:iCs/>
    </w:rPr>
  </w:style>
  <w:style w:type="paragraph" w:customStyle="1" w:styleId="issue">
    <w:name w:val="issue"/>
    <w:basedOn w:val="Normal"/>
    <w:rsid w:val="008D4B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topic">
    <w:name w:val="issuetopic"/>
    <w:basedOn w:val="Normal"/>
    <w:rsid w:val="008D4B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D40E3"/>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4D40E3"/>
  </w:style>
  <w:style w:type="character" w:customStyle="1" w:styleId="eop">
    <w:name w:val="eop"/>
    <w:basedOn w:val="DefaultParagraphFont"/>
    <w:rsid w:val="004D40E3"/>
  </w:style>
  <w:style w:type="character" w:styleId="FollowedHyperlink">
    <w:name w:val="FollowedHyperlink"/>
    <w:basedOn w:val="DefaultParagraphFont"/>
    <w:uiPriority w:val="99"/>
    <w:semiHidden/>
    <w:unhideWhenUsed/>
    <w:rsid w:val="00D96AFC"/>
    <w:rPr>
      <w:color w:val="954F72" w:themeColor="followedHyperlink"/>
      <w:u w:val="single"/>
    </w:rPr>
  </w:style>
  <w:style w:type="character" w:customStyle="1" w:styleId="xs1">
    <w:name w:val="x_s1"/>
    <w:basedOn w:val="DefaultParagraphFont"/>
    <w:rsid w:val="006D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420">
      <w:bodyDiv w:val="1"/>
      <w:marLeft w:val="0"/>
      <w:marRight w:val="0"/>
      <w:marTop w:val="0"/>
      <w:marBottom w:val="0"/>
      <w:divBdr>
        <w:top w:val="none" w:sz="0" w:space="0" w:color="auto"/>
        <w:left w:val="none" w:sz="0" w:space="0" w:color="auto"/>
        <w:bottom w:val="none" w:sz="0" w:space="0" w:color="auto"/>
        <w:right w:val="none" w:sz="0" w:space="0" w:color="auto"/>
      </w:divBdr>
      <w:divsChild>
        <w:div w:id="681053242">
          <w:marLeft w:val="0"/>
          <w:marRight w:val="0"/>
          <w:marTop w:val="0"/>
          <w:marBottom w:val="0"/>
          <w:divBdr>
            <w:top w:val="none" w:sz="0" w:space="0" w:color="auto"/>
            <w:left w:val="none" w:sz="0" w:space="0" w:color="auto"/>
            <w:bottom w:val="none" w:sz="0" w:space="0" w:color="auto"/>
            <w:right w:val="none" w:sz="0" w:space="0" w:color="auto"/>
          </w:divBdr>
        </w:div>
        <w:div w:id="889607097">
          <w:marLeft w:val="0"/>
          <w:marRight w:val="0"/>
          <w:marTop w:val="0"/>
          <w:marBottom w:val="0"/>
          <w:divBdr>
            <w:top w:val="none" w:sz="0" w:space="0" w:color="auto"/>
            <w:left w:val="none" w:sz="0" w:space="0" w:color="auto"/>
            <w:bottom w:val="none" w:sz="0" w:space="0" w:color="auto"/>
            <w:right w:val="none" w:sz="0" w:space="0" w:color="auto"/>
          </w:divBdr>
          <w:divsChild>
            <w:div w:id="807283026">
              <w:marLeft w:val="0"/>
              <w:marRight w:val="0"/>
              <w:marTop w:val="0"/>
              <w:marBottom w:val="0"/>
              <w:divBdr>
                <w:top w:val="none" w:sz="0" w:space="0" w:color="auto"/>
                <w:left w:val="none" w:sz="0" w:space="0" w:color="auto"/>
                <w:bottom w:val="none" w:sz="0" w:space="0" w:color="auto"/>
                <w:right w:val="none" w:sz="0" w:space="0" w:color="auto"/>
              </w:divBdr>
              <w:divsChild>
                <w:div w:id="998849665">
                  <w:marLeft w:val="0"/>
                  <w:marRight w:val="0"/>
                  <w:marTop w:val="0"/>
                  <w:marBottom w:val="0"/>
                  <w:divBdr>
                    <w:top w:val="none" w:sz="0" w:space="0" w:color="auto"/>
                    <w:left w:val="none" w:sz="0" w:space="0" w:color="auto"/>
                    <w:bottom w:val="none" w:sz="0" w:space="0" w:color="auto"/>
                    <w:right w:val="none" w:sz="0" w:space="0" w:color="auto"/>
                  </w:divBdr>
                  <w:divsChild>
                    <w:div w:id="100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613">
      <w:bodyDiv w:val="1"/>
      <w:marLeft w:val="0"/>
      <w:marRight w:val="0"/>
      <w:marTop w:val="0"/>
      <w:marBottom w:val="0"/>
      <w:divBdr>
        <w:top w:val="none" w:sz="0" w:space="0" w:color="auto"/>
        <w:left w:val="none" w:sz="0" w:space="0" w:color="auto"/>
        <w:bottom w:val="none" w:sz="0" w:space="0" w:color="auto"/>
        <w:right w:val="none" w:sz="0" w:space="0" w:color="auto"/>
      </w:divBdr>
    </w:div>
    <w:div w:id="21593005">
      <w:bodyDiv w:val="1"/>
      <w:marLeft w:val="0"/>
      <w:marRight w:val="0"/>
      <w:marTop w:val="0"/>
      <w:marBottom w:val="0"/>
      <w:divBdr>
        <w:top w:val="none" w:sz="0" w:space="0" w:color="auto"/>
        <w:left w:val="none" w:sz="0" w:space="0" w:color="auto"/>
        <w:bottom w:val="none" w:sz="0" w:space="0" w:color="auto"/>
        <w:right w:val="none" w:sz="0" w:space="0" w:color="auto"/>
      </w:divBdr>
      <w:divsChild>
        <w:div w:id="1923635272">
          <w:marLeft w:val="0"/>
          <w:marRight w:val="0"/>
          <w:marTop w:val="0"/>
          <w:marBottom w:val="0"/>
          <w:divBdr>
            <w:top w:val="none" w:sz="0" w:space="0" w:color="auto"/>
            <w:left w:val="none" w:sz="0" w:space="0" w:color="auto"/>
            <w:bottom w:val="none" w:sz="0" w:space="0" w:color="auto"/>
            <w:right w:val="none" w:sz="0" w:space="0" w:color="auto"/>
          </w:divBdr>
        </w:div>
        <w:div w:id="1410886931">
          <w:marLeft w:val="0"/>
          <w:marRight w:val="0"/>
          <w:marTop w:val="0"/>
          <w:marBottom w:val="0"/>
          <w:divBdr>
            <w:top w:val="none" w:sz="0" w:space="0" w:color="auto"/>
            <w:left w:val="none" w:sz="0" w:space="0" w:color="auto"/>
            <w:bottom w:val="none" w:sz="0" w:space="0" w:color="auto"/>
            <w:right w:val="none" w:sz="0" w:space="0" w:color="auto"/>
          </w:divBdr>
        </w:div>
        <w:div w:id="192691549">
          <w:marLeft w:val="0"/>
          <w:marRight w:val="0"/>
          <w:marTop w:val="0"/>
          <w:marBottom w:val="0"/>
          <w:divBdr>
            <w:top w:val="none" w:sz="0" w:space="0" w:color="auto"/>
            <w:left w:val="none" w:sz="0" w:space="0" w:color="auto"/>
            <w:bottom w:val="none" w:sz="0" w:space="0" w:color="auto"/>
            <w:right w:val="none" w:sz="0" w:space="0" w:color="auto"/>
          </w:divBdr>
        </w:div>
        <w:div w:id="673729021">
          <w:marLeft w:val="0"/>
          <w:marRight w:val="0"/>
          <w:marTop w:val="0"/>
          <w:marBottom w:val="0"/>
          <w:divBdr>
            <w:top w:val="none" w:sz="0" w:space="0" w:color="auto"/>
            <w:left w:val="none" w:sz="0" w:space="0" w:color="auto"/>
            <w:bottom w:val="none" w:sz="0" w:space="0" w:color="auto"/>
            <w:right w:val="none" w:sz="0" w:space="0" w:color="auto"/>
          </w:divBdr>
        </w:div>
        <w:div w:id="421948117">
          <w:marLeft w:val="0"/>
          <w:marRight w:val="0"/>
          <w:marTop w:val="0"/>
          <w:marBottom w:val="0"/>
          <w:divBdr>
            <w:top w:val="none" w:sz="0" w:space="0" w:color="auto"/>
            <w:left w:val="none" w:sz="0" w:space="0" w:color="auto"/>
            <w:bottom w:val="none" w:sz="0" w:space="0" w:color="auto"/>
            <w:right w:val="none" w:sz="0" w:space="0" w:color="auto"/>
          </w:divBdr>
        </w:div>
        <w:div w:id="247082265">
          <w:marLeft w:val="0"/>
          <w:marRight w:val="0"/>
          <w:marTop w:val="0"/>
          <w:marBottom w:val="0"/>
          <w:divBdr>
            <w:top w:val="none" w:sz="0" w:space="0" w:color="auto"/>
            <w:left w:val="none" w:sz="0" w:space="0" w:color="auto"/>
            <w:bottom w:val="none" w:sz="0" w:space="0" w:color="auto"/>
            <w:right w:val="none" w:sz="0" w:space="0" w:color="auto"/>
          </w:divBdr>
        </w:div>
        <w:div w:id="473180784">
          <w:marLeft w:val="0"/>
          <w:marRight w:val="0"/>
          <w:marTop w:val="0"/>
          <w:marBottom w:val="0"/>
          <w:divBdr>
            <w:top w:val="none" w:sz="0" w:space="0" w:color="auto"/>
            <w:left w:val="none" w:sz="0" w:space="0" w:color="auto"/>
            <w:bottom w:val="none" w:sz="0" w:space="0" w:color="auto"/>
            <w:right w:val="none" w:sz="0" w:space="0" w:color="auto"/>
          </w:divBdr>
        </w:div>
        <w:div w:id="780029871">
          <w:marLeft w:val="0"/>
          <w:marRight w:val="0"/>
          <w:marTop w:val="0"/>
          <w:marBottom w:val="0"/>
          <w:divBdr>
            <w:top w:val="none" w:sz="0" w:space="0" w:color="auto"/>
            <w:left w:val="none" w:sz="0" w:space="0" w:color="auto"/>
            <w:bottom w:val="none" w:sz="0" w:space="0" w:color="auto"/>
            <w:right w:val="none" w:sz="0" w:space="0" w:color="auto"/>
          </w:divBdr>
        </w:div>
        <w:div w:id="278490611">
          <w:marLeft w:val="0"/>
          <w:marRight w:val="0"/>
          <w:marTop w:val="0"/>
          <w:marBottom w:val="0"/>
          <w:divBdr>
            <w:top w:val="none" w:sz="0" w:space="0" w:color="auto"/>
            <w:left w:val="none" w:sz="0" w:space="0" w:color="auto"/>
            <w:bottom w:val="none" w:sz="0" w:space="0" w:color="auto"/>
            <w:right w:val="none" w:sz="0" w:space="0" w:color="auto"/>
          </w:divBdr>
        </w:div>
        <w:div w:id="938440782">
          <w:marLeft w:val="0"/>
          <w:marRight w:val="0"/>
          <w:marTop w:val="0"/>
          <w:marBottom w:val="0"/>
          <w:divBdr>
            <w:top w:val="none" w:sz="0" w:space="0" w:color="auto"/>
            <w:left w:val="none" w:sz="0" w:space="0" w:color="auto"/>
            <w:bottom w:val="none" w:sz="0" w:space="0" w:color="auto"/>
            <w:right w:val="none" w:sz="0" w:space="0" w:color="auto"/>
          </w:divBdr>
        </w:div>
        <w:div w:id="1863277414">
          <w:marLeft w:val="0"/>
          <w:marRight w:val="0"/>
          <w:marTop w:val="0"/>
          <w:marBottom w:val="0"/>
          <w:divBdr>
            <w:top w:val="none" w:sz="0" w:space="0" w:color="auto"/>
            <w:left w:val="none" w:sz="0" w:space="0" w:color="auto"/>
            <w:bottom w:val="none" w:sz="0" w:space="0" w:color="auto"/>
            <w:right w:val="none" w:sz="0" w:space="0" w:color="auto"/>
          </w:divBdr>
        </w:div>
        <w:div w:id="40713477">
          <w:marLeft w:val="0"/>
          <w:marRight w:val="0"/>
          <w:marTop w:val="0"/>
          <w:marBottom w:val="0"/>
          <w:divBdr>
            <w:top w:val="none" w:sz="0" w:space="0" w:color="auto"/>
            <w:left w:val="none" w:sz="0" w:space="0" w:color="auto"/>
            <w:bottom w:val="none" w:sz="0" w:space="0" w:color="auto"/>
            <w:right w:val="none" w:sz="0" w:space="0" w:color="auto"/>
          </w:divBdr>
        </w:div>
      </w:divsChild>
    </w:div>
    <w:div w:id="51658040">
      <w:bodyDiv w:val="1"/>
      <w:marLeft w:val="0"/>
      <w:marRight w:val="0"/>
      <w:marTop w:val="0"/>
      <w:marBottom w:val="0"/>
      <w:divBdr>
        <w:top w:val="none" w:sz="0" w:space="0" w:color="auto"/>
        <w:left w:val="none" w:sz="0" w:space="0" w:color="auto"/>
        <w:bottom w:val="none" w:sz="0" w:space="0" w:color="auto"/>
        <w:right w:val="none" w:sz="0" w:space="0" w:color="auto"/>
      </w:divBdr>
    </w:div>
    <w:div w:id="69741240">
      <w:bodyDiv w:val="1"/>
      <w:marLeft w:val="0"/>
      <w:marRight w:val="0"/>
      <w:marTop w:val="0"/>
      <w:marBottom w:val="0"/>
      <w:divBdr>
        <w:top w:val="none" w:sz="0" w:space="0" w:color="auto"/>
        <w:left w:val="none" w:sz="0" w:space="0" w:color="auto"/>
        <w:bottom w:val="none" w:sz="0" w:space="0" w:color="auto"/>
        <w:right w:val="none" w:sz="0" w:space="0" w:color="auto"/>
      </w:divBdr>
    </w:div>
    <w:div w:id="70590794">
      <w:bodyDiv w:val="1"/>
      <w:marLeft w:val="0"/>
      <w:marRight w:val="0"/>
      <w:marTop w:val="0"/>
      <w:marBottom w:val="0"/>
      <w:divBdr>
        <w:top w:val="none" w:sz="0" w:space="0" w:color="auto"/>
        <w:left w:val="none" w:sz="0" w:space="0" w:color="auto"/>
        <w:bottom w:val="none" w:sz="0" w:space="0" w:color="auto"/>
        <w:right w:val="none" w:sz="0" w:space="0" w:color="auto"/>
      </w:divBdr>
    </w:div>
    <w:div w:id="73628312">
      <w:bodyDiv w:val="1"/>
      <w:marLeft w:val="0"/>
      <w:marRight w:val="0"/>
      <w:marTop w:val="0"/>
      <w:marBottom w:val="0"/>
      <w:divBdr>
        <w:top w:val="none" w:sz="0" w:space="0" w:color="auto"/>
        <w:left w:val="none" w:sz="0" w:space="0" w:color="auto"/>
        <w:bottom w:val="none" w:sz="0" w:space="0" w:color="auto"/>
        <w:right w:val="none" w:sz="0" w:space="0" w:color="auto"/>
      </w:divBdr>
    </w:div>
    <w:div w:id="76220468">
      <w:bodyDiv w:val="1"/>
      <w:marLeft w:val="0"/>
      <w:marRight w:val="0"/>
      <w:marTop w:val="0"/>
      <w:marBottom w:val="0"/>
      <w:divBdr>
        <w:top w:val="none" w:sz="0" w:space="0" w:color="auto"/>
        <w:left w:val="none" w:sz="0" w:space="0" w:color="auto"/>
        <w:bottom w:val="none" w:sz="0" w:space="0" w:color="auto"/>
        <w:right w:val="none" w:sz="0" w:space="0" w:color="auto"/>
      </w:divBdr>
    </w:div>
    <w:div w:id="91751022">
      <w:bodyDiv w:val="1"/>
      <w:marLeft w:val="0"/>
      <w:marRight w:val="0"/>
      <w:marTop w:val="0"/>
      <w:marBottom w:val="0"/>
      <w:divBdr>
        <w:top w:val="none" w:sz="0" w:space="0" w:color="auto"/>
        <w:left w:val="none" w:sz="0" w:space="0" w:color="auto"/>
        <w:bottom w:val="none" w:sz="0" w:space="0" w:color="auto"/>
        <w:right w:val="none" w:sz="0" w:space="0" w:color="auto"/>
      </w:divBdr>
      <w:divsChild>
        <w:div w:id="42409598">
          <w:marLeft w:val="0"/>
          <w:marRight w:val="0"/>
          <w:marTop w:val="0"/>
          <w:marBottom w:val="0"/>
          <w:divBdr>
            <w:top w:val="none" w:sz="0" w:space="0" w:color="auto"/>
            <w:left w:val="none" w:sz="0" w:space="0" w:color="auto"/>
            <w:bottom w:val="none" w:sz="0" w:space="0" w:color="auto"/>
            <w:right w:val="none" w:sz="0" w:space="0" w:color="auto"/>
          </w:divBdr>
        </w:div>
        <w:div w:id="888222907">
          <w:marLeft w:val="0"/>
          <w:marRight w:val="0"/>
          <w:marTop w:val="0"/>
          <w:marBottom w:val="0"/>
          <w:divBdr>
            <w:top w:val="none" w:sz="0" w:space="0" w:color="auto"/>
            <w:left w:val="none" w:sz="0" w:space="0" w:color="auto"/>
            <w:bottom w:val="none" w:sz="0" w:space="0" w:color="auto"/>
            <w:right w:val="none" w:sz="0" w:space="0" w:color="auto"/>
          </w:divBdr>
        </w:div>
        <w:div w:id="980578819">
          <w:marLeft w:val="0"/>
          <w:marRight w:val="0"/>
          <w:marTop w:val="0"/>
          <w:marBottom w:val="0"/>
          <w:divBdr>
            <w:top w:val="none" w:sz="0" w:space="0" w:color="auto"/>
            <w:left w:val="none" w:sz="0" w:space="0" w:color="auto"/>
            <w:bottom w:val="none" w:sz="0" w:space="0" w:color="auto"/>
            <w:right w:val="none" w:sz="0" w:space="0" w:color="auto"/>
          </w:divBdr>
        </w:div>
        <w:div w:id="1571774169">
          <w:marLeft w:val="0"/>
          <w:marRight w:val="0"/>
          <w:marTop w:val="0"/>
          <w:marBottom w:val="0"/>
          <w:divBdr>
            <w:top w:val="none" w:sz="0" w:space="0" w:color="auto"/>
            <w:left w:val="none" w:sz="0" w:space="0" w:color="auto"/>
            <w:bottom w:val="none" w:sz="0" w:space="0" w:color="auto"/>
            <w:right w:val="none" w:sz="0" w:space="0" w:color="auto"/>
          </w:divBdr>
        </w:div>
      </w:divsChild>
    </w:div>
    <w:div w:id="93211936">
      <w:bodyDiv w:val="1"/>
      <w:marLeft w:val="0"/>
      <w:marRight w:val="0"/>
      <w:marTop w:val="0"/>
      <w:marBottom w:val="0"/>
      <w:divBdr>
        <w:top w:val="none" w:sz="0" w:space="0" w:color="auto"/>
        <w:left w:val="none" w:sz="0" w:space="0" w:color="auto"/>
        <w:bottom w:val="none" w:sz="0" w:space="0" w:color="auto"/>
        <w:right w:val="none" w:sz="0" w:space="0" w:color="auto"/>
      </w:divBdr>
      <w:divsChild>
        <w:div w:id="606619340">
          <w:marLeft w:val="0"/>
          <w:marRight w:val="0"/>
          <w:marTop w:val="0"/>
          <w:marBottom w:val="0"/>
          <w:divBdr>
            <w:top w:val="none" w:sz="0" w:space="0" w:color="auto"/>
            <w:left w:val="none" w:sz="0" w:space="0" w:color="auto"/>
            <w:bottom w:val="none" w:sz="0" w:space="0" w:color="auto"/>
            <w:right w:val="none" w:sz="0" w:space="0" w:color="auto"/>
          </w:divBdr>
        </w:div>
        <w:div w:id="581181364">
          <w:marLeft w:val="0"/>
          <w:marRight w:val="0"/>
          <w:marTop w:val="0"/>
          <w:marBottom w:val="0"/>
          <w:divBdr>
            <w:top w:val="none" w:sz="0" w:space="0" w:color="auto"/>
            <w:left w:val="none" w:sz="0" w:space="0" w:color="auto"/>
            <w:bottom w:val="none" w:sz="0" w:space="0" w:color="auto"/>
            <w:right w:val="none" w:sz="0" w:space="0" w:color="auto"/>
          </w:divBdr>
        </w:div>
        <w:div w:id="1495072902">
          <w:marLeft w:val="0"/>
          <w:marRight w:val="0"/>
          <w:marTop w:val="0"/>
          <w:marBottom w:val="0"/>
          <w:divBdr>
            <w:top w:val="none" w:sz="0" w:space="0" w:color="auto"/>
            <w:left w:val="none" w:sz="0" w:space="0" w:color="auto"/>
            <w:bottom w:val="none" w:sz="0" w:space="0" w:color="auto"/>
            <w:right w:val="none" w:sz="0" w:space="0" w:color="auto"/>
          </w:divBdr>
        </w:div>
        <w:div w:id="717241855">
          <w:marLeft w:val="0"/>
          <w:marRight w:val="0"/>
          <w:marTop w:val="0"/>
          <w:marBottom w:val="0"/>
          <w:divBdr>
            <w:top w:val="none" w:sz="0" w:space="0" w:color="auto"/>
            <w:left w:val="none" w:sz="0" w:space="0" w:color="auto"/>
            <w:bottom w:val="none" w:sz="0" w:space="0" w:color="auto"/>
            <w:right w:val="none" w:sz="0" w:space="0" w:color="auto"/>
          </w:divBdr>
        </w:div>
      </w:divsChild>
    </w:div>
    <w:div w:id="127629518">
      <w:bodyDiv w:val="1"/>
      <w:marLeft w:val="0"/>
      <w:marRight w:val="0"/>
      <w:marTop w:val="0"/>
      <w:marBottom w:val="0"/>
      <w:divBdr>
        <w:top w:val="none" w:sz="0" w:space="0" w:color="auto"/>
        <w:left w:val="none" w:sz="0" w:space="0" w:color="auto"/>
        <w:bottom w:val="none" w:sz="0" w:space="0" w:color="auto"/>
        <w:right w:val="none" w:sz="0" w:space="0" w:color="auto"/>
      </w:divBdr>
    </w:div>
    <w:div w:id="139423125">
      <w:bodyDiv w:val="1"/>
      <w:marLeft w:val="0"/>
      <w:marRight w:val="0"/>
      <w:marTop w:val="0"/>
      <w:marBottom w:val="0"/>
      <w:divBdr>
        <w:top w:val="none" w:sz="0" w:space="0" w:color="auto"/>
        <w:left w:val="none" w:sz="0" w:space="0" w:color="auto"/>
        <w:bottom w:val="none" w:sz="0" w:space="0" w:color="auto"/>
        <w:right w:val="none" w:sz="0" w:space="0" w:color="auto"/>
      </w:divBdr>
    </w:div>
    <w:div w:id="171142878">
      <w:bodyDiv w:val="1"/>
      <w:marLeft w:val="0"/>
      <w:marRight w:val="0"/>
      <w:marTop w:val="0"/>
      <w:marBottom w:val="0"/>
      <w:divBdr>
        <w:top w:val="none" w:sz="0" w:space="0" w:color="auto"/>
        <w:left w:val="none" w:sz="0" w:space="0" w:color="auto"/>
        <w:bottom w:val="none" w:sz="0" w:space="0" w:color="auto"/>
        <w:right w:val="none" w:sz="0" w:space="0" w:color="auto"/>
      </w:divBdr>
    </w:div>
    <w:div w:id="200634950">
      <w:bodyDiv w:val="1"/>
      <w:marLeft w:val="0"/>
      <w:marRight w:val="0"/>
      <w:marTop w:val="0"/>
      <w:marBottom w:val="0"/>
      <w:divBdr>
        <w:top w:val="none" w:sz="0" w:space="0" w:color="auto"/>
        <w:left w:val="none" w:sz="0" w:space="0" w:color="auto"/>
        <w:bottom w:val="none" w:sz="0" w:space="0" w:color="auto"/>
        <w:right w:val="none" w:sz="0" w:space="0" w:color="auto"/>
      </w:divBdr>
    </w:div>
    <w:div w:id="205063987">
      <w:bodyDiv w:val="1"/>
      <w:marLeft w:val="0"/>
      <w:marRight w:val="0"/>
      <w:marTop w:val="0"/>
      <w:marBottom w:val="0"/>
      <w:divBdr>
        <w:top w:val="none" w:sz="0" w:space="0" w:color="auto"/>
        <w:left w:val="none" w:sz="0" w:space="0" w:color="auto"/>
        <w:bottom w:val="none" w:sz="0" w:space="0" w:color="auto"/>
        <w:right w:val="none" w:sz="0" w:space="0" w:color="auto"/>
      </w:divBdr>
    </w:div>
    <w:div w:id="205260313">
      <w:bodyDiv w:val="1"/>
      <w:marLeft w:val="0"/>
      <w:marRight w:val="0"/>
      <w:marTop w:val="0"/>
      <w:marBottom w:val="0"/>
      <w:divBdr>
        <w:top w:val="none" w:sz="0" w:space="0" w:color="auto"/>
        <w:left w:val="none" w:sz="0" w:space="0" w:color="auto"/>
        <w:bottom w:val="none" w:sz="0" w:space="0" w:color="auto"/>
        <w:right w:val="none" w:sz="0" w:space="0" w:color="auto"/>
      </w:divBdr>
    </w:div>
    <w:div w:id="323170742">
      <w:bodyDiv w:val="1"/>
      <w:marLeft w:val="0"/>
      <w:marRight w:val="0"/>
      <w:marTop w:val="0"/>
      <w:marBottom w:val="0"/>
      <w:divBdr>
        <w:top w:val="none" w:sz="0" w:space="0" w:color="auto"/>
        <w:left w:val="none" w:sz="0" w:space="0" w:color="auto"/>
        <w:bottom w:val="none" w:sz="0" w:space="0" w:color="auto"/>
        <w:right w:val="none" w:sz="0" w:space="0" w:color="auto"/>
      </w:divBdr>
    </w:div>
    <w:div w:id="358817431">
      <w:bodyDiv w:val="1"/>
      <w:marLeft w:val="0"/>
      <w:marRight w:val="0"/>
      <w:marTop w:val="0"/>
      <w:marBottom w:val="0"/>
      <w:divBdr>
        <w:top w:val="none" w:sz="0" w:space="0" w:color="auto"/>
        <w:left w:val="none" w:sz="0" w:space="0" w:color="auto"/>
        <w:bottom w:val="none" w:sz="0" w:space="0" w:color="auto"/>
        <w:right w:val="none" w:sz="0" w:space="0" w:color="auto"/>
      </w:divBdr>
    </w:div>
    <w:div w:id="363361899">
      <w:bodyDiv w:val="1"/>
      <w:marLeft w:val="0"/>
      <w:marRight w:val="0"/>
      <w:marTop w:val="0"/>
      <w:marBottom w:val="0"/>
      <w:divBdr>
        <w:top w:val="none" w:sz="0" w:space="0" w:color="auto"/>
        <w:left w:val="none" w:sz="0" w:space="0" w:color="auto"/>
        <w:bottom w:val="none" w:sz="0" w:space="0" w:color="auto"/>
        <w:right w:val="none" w:sz="0" w:space="0" w:color="auto"/>
      </w:divBdr>
    </w:div>
    <w:div w:id="363753334">
      <w:bodyDiv w:val="1"/>
      <w:marLeft w:val="0"/>
      <w:marRight w:val="0"/>
      <w:marTop w:val="0"/>
      <w:marBottom w:val="0"/>
      <w:divBdr>
        <w:top w:val="none" w:sz="0" w:space="0" w:color="auto"/>
        <w:left w:val="none" w:sz="0" w:space="0" w:color="auto"/>
        <w:bottom w:val="none" w:sz="0" w:space="0" w:color="auto"/>
        <w:right w:val="none" w:sz="0" w:space="0" w:color="auto"/>
      </w:divBdr>
    </w:div>
    <w:div w:id="364453680">
      <w:bodyDiv w:val="1"/>
      <w:marLeft w:val="0"/>
      <w:marRight w:val="0"/>
      <w:marTop w:val="0"/>
      <w:marBottom w:val="0"/>
      <w:divBdr>
        <w:top w:val="none" w:sz="0" w:space="0" w:color="auto"/>
        <w:left w:val="none" w:sz="0" w:space="0" w:color="auto"/>
        <w:bottom w:val="none" w:sz="0" w:space="0" w:color="auto"/>
        <w:right w:val="none" w:sz="0" w:space="0" w:color="auto"/>
      </w:divBdr>
    </w:div>
    <w:div w:id="416945460">
      <w:bodyDiv w:val="1"/>
      <w:marLeft w:val="0"/>
      <w:marRight w:val="0"/>
      <w:marTop w:val="0"/>
      <w:marBottom w:val="0"/>
      <w:divBdr>
        <w:top w:val="none" w:sz="0" w:space="0" w:color="auto"/>
        <w:left w:val="none" w:sz="0" w:space="0" w:color="auto"/>
        <w:bottom w:val="none" w:sz="0" w:space="0" w:color="auto"/>
        <w:right w:val="none" w:sz="0" w:space="0" w:color="auto"/>
      </w:divBdr>
      <w:divsChild>
        <w:div w:id="895774124">
          <w:marLeft w:val="547"/>
          <w:marRight w:val="0"/>
          <w:marTop w:val="0"/>
          <w:marBottom w:val="0"/>
          <w:divBdr>
            <w:top w:val="none" w:sz="0" w:space="0" w:color="auto"/>
            <w:left w:val="none" w:sz="0" w:space="0" w:color="auto"/>
            <w:bottom w:val="none" w:sz="0" w:space="0" w:color="auto"/>
            <w:right w:val="none" w:sz="0" w:space="0" w:color="auto"/>
          </w:divBdr>
        </w:div>
      </w:divsChild>
    </w:div>
    <w:div w:id="490802190">
      <w:bodyDiv w:val="1"/>
      <w:marLeft w:val="0"/>
      <w:marRight w:val="0"/>
      <w:marTop w:val="0"/>
      <w:marBottom w:val="0"/>
      <w:divBdr>
        <w:top w:val="none" w:sz="0" w:space="0" w:color="auto"/>
        <w:left w:val="none" w:sz="0" w:space="0" w:color="auto"/>
        <w:bottom w:val="none" w:sz="0" w:space="0" w:color="auto"/>
        <w:right w:val="none" w:sz="0" w:space="0" w:color="auto"/>
      </w:divBdr>
    </w:div>
    <w:div w:id="509024038">
      <w:bodyDiv w:val="1"/>
      <w:marLeft w:val="0"/>
      <w:marRight w:val="0"/>
      <w:marTop w:val="0"/>
      <w:marBottom w:val="0"/>
      <w:divBdr>
        <w:top w:val="none" w:sz="0" w:space="0" w:color="auto"/>
        <w:left w:val="none" w:sz="0" w:space="0" w:color="auto"/>
        <w:bottom w:val="none" w:sz="0" w:space="0" w:color="auto"/>
        <w:right w:val="none" w:sz="0" w:space="0" w:color="auto"/>
      </w:divBdr>
    </w:div>
    <w:div w:id="527447961">
      <w:bodyDiv w:val="1"/>
      <w:marLeft w:val="0"/>
      <w:marRight w:val="0"/>
      <w:marTop w:val="0"/>
      <w:marBottom w:val="0"/>
      <w:divBdr>
        <w:top w:val="none" w:sz="0" w:space="0" w:color="auto"/>
        <w:left w:val="none" w:sz="0" w:space="0" w:color="auto"/>
        <w:bottom w:val="none" w:sz="0" w:space="0" w:color="auto"/>
        <w:right w:val="none" w:sz="0" w:space="0" w:color="auto"/>
      </w:divBdr>
    </w:div>
    <w:div w:id="531916300">
      <w:bodyDiv w:val="1"/>
      <w:marLeft w:val="0"/>
      <w:marRight w:val="0"/>
      <w:marTop w:val="0"/>
      <w:marBottom w:val="0"/>
      <w:divBdr>
        <w:top w:val="none" w:sz="0" w:space="0" w:color="auto"/>
        <w:left w:val="none" w:sz="0" w:space="0" w:color="auto"/>
        <w:bottom w:val="none" w:sz="0" w:space="0" w:color="auto"/>
        <w:right w:val="none" w:sz="0" w:space="0" w:color="auto"/>
      </w:divBdr>
    </w:div>
    <w:div w:id="564335381">
      <w:bodyDiv w:val="1"/>
      <w:marLeft w:val="0"/>
      <w:marRight w:val="0"/>
      <w:marTop w:val="0"/>
      <w:marBottom w:val="0"/>
      <w:divBdr>
        <w:top w:val="none" w:sz="0" w:space="0" w:color="auto"/>
        <w:left w:val="none" w:sz="0" w:space="0" w:color="auto"/>
        <w:bottom w:val="none" w:sz="0" w:space="0" w:color="auto"/>
        <w:right w:val="none" w:sz="0" w:space="0" w:color="auto"/>
      </w:divBdr>
    </w:div>
    <w:div w:id="575362165">
      <w:bodyDiv w:val="1"/>
      <w:marLeft w:val="0"/>
      <w:marRight w:val="0"/>
      <w:marTop w:val="0"/>
      <w:marBottom w:val="0"/>
      <w:divBdr>
        <w:top w:val="none" w:sz="0" w:space="0" w:color="auto"/>
        <w:left w:val="none" w:sz="0" w:space="0" w:color="auto"/>
        <w:bottom w:val="none" w:sz="0" w:space="0" w:color="auto"/>
        <w:right w:val="none" w:sz="0" w:space="0" w:color="auto"/>
      </w:divBdr>
    </w:div>
    <w:div w:id="591740310">
      <w:bodyDiv w:val="1"/>
      <w:marLeft w:val="0"/>
      <w:marRight w:val="0"/>
      <w:marTop w:val="0"/>
      <w:marBottom w:val="0"/>
      <w:divBdr>
        <w:top w:val="none" w:sz="0" w:space="0" w:color="auto"/>
        <w:left w:val="none" w:sz="0" w:space="0" w:color="auto"/>
        <w:bottom w:val="none" w:sz="0" w:space="0" w:color="auto"/>
        <w:right w:val="none" w:sz="0" w:space="0" w:color="auto"/>
      </w:divBdr>
    </w:div>
    <w:div w:id="615138256">
      <w:bodyDiv w:val="1"/>
      <w:marLeft w:val="0"/>
      <w:marRight w:val="0"/>
      <w:marTop w:val="0"/>
      <w:marBottom w:val="0"/>
      <w:divBdr>
        <w:top w:val="none" w:sz="0" w:space="0" w:color="auto"/>
        <w:left w:val="none" w:sz="0" w:space="0" w:color="auto"/>
        <w:bottom w:val="none" w:sz="0" w:space="0" w:color="auto"/>
        <w:right w:val="none" w:sz="0" w:space="0" w:color="auto"/>
      </w:divBdr>
    </w:div>
    <w:div w:id="630332502">
      <w:bodyDiv w:val="1"/>
      <w:marLeft w:val="0"/>
      <w:marRight w:val="0"/>
      <w:marTop w:val="0"/>
      <w:marBottom w:val="0"/>
      <w:divBdr>
        <w:top w:val="none" w:sz="0" w:space="0" w:color="auto"/>
        <w:left w:val="none" w:sz="0" w:space="0" w:color="auto"/>
        <w:bottom w:val="none" w:sz="0" w:space="0" w:color="auto"/>
        <w:right w:val="none" w:sz="0" w:space="0" w:color="auto"/>
      </w:divBdr>
    </w:div>
    <w:div w:id="645623788">
      <w:bodyDiv w:val="1"/>
      <w:marLeft w:val="0"/>
      <w:marRight w:val="0"/>
      <w:marTop w:val="0"/>
      <w:marBottom w:val="0"/>
      <w:divBdr>
        <w:top w:val="none" w:sz="0" w:space="0" w:color="auto"/>
        <w:left w:val="none" w:sz="0" w:space="0" w:color="auto"/>
        <w:bottom w:val="none" w:sz="0" w:space="0" w:color="auto"/>
        <w:right w:val="none" w:sz="0" w:space="0" w:color="auto"/>
      </w:divBdr>
      <w:divsChild>
        <w:div w:id="831023159">
          <w:marLeft w:val="0"/>
          <w:marRight w:val="0"/>
          <w:marTop w:val="0"/>
          <w:marBottom w:val="0"/>
          <w:divBdr>
            <w:top w:val="none" w:sz="0" w:space="0" w:color="auto"/>
            <w:left w:val="none" w:sz="0" w:space="0" w:color="auto"/>
            <w:bottom w:val="none" w:sz="0" w:space="0" w:color="auto"/>
            <w:right w:val="none" w:sz="0" w:space="0" w:color="auto"/>
          </w:divBdr>
          <w:divsChild>
            <w:div w:id="270358108">
              <w:marLeft w:val="0"/>
              <w:marRight w:val="0"/>
              <w:marTop w:val="0"/>
              <w:marBottom w:val="0"/>
              <w:divBdr>
                <w:top w:val="none" w:sz="0" w:space="0" w:color="auto"/>
                <w:left w:val="none" w:sz="0" w:space="0" w:color="auto"/>
                <w:bottom w:val="none" w:sz="0" w:space="0" w:color="auto"/>
                <w:right w:val="none" w:sz="0" w:space="0" w:color="auto"/>
              </w:divBdr>
              <w:divsChild>
                <w:div w:id="3883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9587">
      <w:bodyDiv w:val="1"/>
      <w:marLeft w:val="0"/>
      <w:marRight w:val="0"/>
      <w:marTop w:val="0"/>
      <w:marBottom w:val="0"/>
      <w:divBdr>
        <w:top w:val="none" w:sz="0" w:space="0" w:color="auto"/>
        <w:left w:val="none" w:sz="0" w:space="0" w:color="auto"/>
        <w:bottom w:val="none" w:sz="0" w:space="0" w:color="auto"/>
        <w:right w:val="none" w:sz="0" w:space="0" w:color="auto"/>
      </w:divBdr>
    </w:div>
    <w:div w:id="662273090">
      <w:bodyDiv w:val="1"/>
      <w:marLeft w:val="0"/>
      <w:marRight w:val="0"/>
      <w:marTop w:val="0"/>
      <w:marBottom w:val="0"/>
      <w:divBdr>
        <w:top w:val="none" w:sz="0" w:space="0" w:color="auto"/>
        <w:left w:val="none" w:sz="0" w:space="0" w:color="auto"/>
        <w:bottom w:val="none" w:sz="0" w:space="0" w:color="auto"/>
        <w:right w:val="none" w:sz="0" w:space="0" w:color="auto"/>
      </w:divBdr>
    </w:div>
    <w:div w:id="669064646">
      <w:bodyDiv w:val="1"/>
      <w:marLeft w:val="0"/>
      <w:marRight w:val="0"/>
      <w:marTop w:val="0"/>
      <w:marBottom w:val="0"/>
      <w:divBdr>
        <w:top w:val="none" w:sz="0" w:space="0" w:color="auto"/>
        <w:left w:val="none" w:sz="0" w:space="0" w:color="auto"/>
        <w:bottom w:val="none" w:sz="0" w:space="0" w:color="auto"/>
        <w:right w:val="none" w:sz="0" w:space="0" w:color="auto"/>
      </w:divBdr>
    </w:div>
    <w:div w:id="673072053">
      <w:bodyDiv w:val="1"/>
      <w:marLeft w:val="0"/>
      <w:marRight w:val="0"/>
      <w:marTop w:val="0"/>
      <w:marBottom w:val="0"/>
      <w:divBdr>
        <w:top w:val="none" w:sz="0" w:space="0" w:color="auto"/>
        <w:left w:val="none" w:sz="0" w:space="0" w:color="auto"/>
        <w:bottom w:val="none" w:sz="0" w:space="0" w:color="auto"/>
        <w:right w:val="none" w:sz="0" w:space="0" w:color="auto"/>
      </w:divBdr>
    </w:div>
    <w:div w:id="695271994">
      <w:bodyDiv w:val="1"/>
      <w:marLeft w:val="0"/>
      <w:marRight w:val="0"/>
      <w:marTop w:val="0"/>
      <w:marBottom w:val="0"/>
      <w:divBdr>
        <w:top w:val="none" w:sz="0" w:space="0" w:color="auto"/>
        <w:left w:val="none" w:sz="0" w:space="0" w:color="auto"/>
        <w:bottom w:val="none" w:sz="0" w:space="0" w:color="auto"/>
        <w:right w:val="none" w:sz="0" w:space="0" w:color="auto"/>
      </w:divBdr>
    </w:div>
    <w:div w:id="703404583">
      <w:bodyDiv w:val="1"/>
      <w:marLeft w:val="0"/>
      <w:marRight w:val="0"/>
      <w:marTop w:val="0"/>
      <w:marBottom w:val="0"/>
      <w:divBdr>
        <w:top w:val="none" w:sz="0" w:space="0" w:color="auto"/>
        <w:left w:val="none" w:sz="0" w:space="0" w:color="auto"/>
        <w:bottom w:val="none" w:sz="0" w:space="0" w:color="auto"/>
        <w:right w:val="none" w:sz="0" w:space="0" w:color="auto"/>
      </w:divBdr>
    </w:div>
    <w:div w:id="732436667">
      <w:bodyDiv w:val="1"/>
      <w:marLeft w:val="0"/>
      <w:marRight w:val="0"/>
      <w:marTop w:val="0"/>
      <w:marBottom w:val="0"/>
      <w:divBdr>
        <w:top w:val="none" w:sz="0" w:space="0" w:color="auto"/>
        <w:left w:val="none" w:sz="0" w:space="0" w:color="auto"/>
        <w:bottom w:val="none" w:sz="0" w:space="0" w:color="auto"/>
        <w:right w:val="none" w:sz="0" w:space="0" w:color="auto"/>
      </w:divBdr>
    </w:div>
    <w:div w:id="747726090">
      <w:bodyDiv w:val="1"/>
      <w:marLeft w:val="0"/>
      <w:marRight w:val="0"/>
      <w:marTop w:val="0"/>
      <w:marBottom w:val="0"/>
      <w:divBdr>
        <w:top w:val="none" w:sz="0" w:space="0" w:color="auto"/>
        <w:left w:val="none" w:sz="0" w:space="0" w:color="auto"/>
        <w:bottom w:val="none" w:sz="0" w:space="0" w:color="auto"/>
        <w:right w:val="none" w:sz="0" w:space="0" w:color="auto"/>
      </w:divBdr>
    </w:div>
    <w:div w:id="770666245">
      <w:bodyDiv w:val="1"/>
      <w:marLeft w:val="0"/>
      <w:marRight w:val="0"/>
      <w:marTop w:val="0"/>
      <w:marBottom w:val="0"/>
      <w:divBdr>
        <w:top w:val="none" w:sz="0" w:space="0" w:color="auto"/>
        <w:left w:val="none" w:sz="0" w:space="0" w:color="auto"/>
        <w:bottom w:val="none" w:sz="0" w:space="0" w:color="auto"/>
        <w:right w:val="none" w:sz="0" w:space="0" w:color="auto"/>
      </w:divBdr>
      <w:divsChild>
        <w:div w:id="93333448">
          <w:marLeft w:val="547"/>
          <w:marRight w:val="0"/>
          <w:marTop w:val="0"/>
          <w:marBottom w:val="0"/>
          <w:divBdr>
            <w:top w:val="none" w:sz="0" w:space="0" w:color="auto"/>
            <w:left w:val="none" w:sz="0" w:space="0" w:color="auto"/>
            <w:bottom w:val="none" w:sz="0" w:space="0" w:color="auto"/>
            <w:right w:val="none" w:sz="0" w:space="0" w:color="auto"/>
          </w:divBdr>
        </w:div>
      </w:divsChild>
    </w:div>
    <w:div w:id="798955636">
      <w:bodyDiv w:val="1"/>
      <w:marLeft w:val="0"/>
      <w:marRight w:val="0"/>
      <w:marTop w:val="0"/>
      <w:marBottom w:val="0"/>
      <w:divBdr>
        <w:top w:val="none" w:sz="0" w:space="0" w:color="auto"/>
        <w:left w:val="none" w:sz="0" w:space="0" w:color="auto"/>
        <w:bottom w:val="none" w:sz="0" w:space="0" w:color="auto"/>
        <w:right w:val="none" w:sz="0" w:space="0" w:color="auto"/>
      </w:divBdr>
    </w:div>
    <w:div w:id="799030071">
      <w:bodyDiv w:val="1"/>
      <w:marLeft w:val="0"/>
      <w:marRight w:val="0"/>
      <w:marTop w:val="0"/>
      <w:marBottom w:val="0"/>
      <w:divBdr>
        <w:top w:val="none" w:sz="0" w:space="0" w:color="auto"/>
        <w:left w:val="none" w:sz="0" w:space="0" w:color="auto"/>
        <w:bottom w:val="none" w:sz="0" w:space="0" w:color="auto"/>
        <w:right w:val="none" w:sz="0" w:space="0" w:color="auto"/>
      </w:divBdr>
    </w:div>
    <w:div w:id="833448060">
      <w:bodyDiv w:val="1"/>
      <w:marLeft w:val="0"/>
      <w:marRight w:val="0"/>
      <w:marTop w:val="0"/>
      <w:marBottom w:val="0"/>
      <w:divBdr>
        <w:top w:val="none" w:sz="0" w:space="0" w:color="auto"/>
        <w:left w:val="none" w:sz="0" w:space="0" w:color="auto"/>
        <w:bottom w:val="none" w:sz="0" w:space="0" w:color="auto"/>
        <w:right w:val="none" w:sz="0" w:space="0" w:color="auto"/>
      </w:divBdr>
    </w:div>
    <w:div w:id="837188892">
      <w:bodyDiv w:val="1"/>
      <w:marLeft w:val="0"/>
      <w:marRight w:val="0"/>
      <w:marTop w:val="0"/>
      <w:marBottom w:val="0"/>
      <w:divBdr>
        <w:top w:val="none" w:sz="0" w:space="0" w:color="auto"/>
        <w:left w:val="none" w:sz="0" w:space="0" w:color="auto"/>
        <w:bottom w:val="none" w:sz="0" w:space="0" w:color="auto"/>
        <w:right w:val="none" w:sz="0" w:space="0" w:color="auto"/>
      </w:divBdr>
    </w:div>
    <w:div w:id="859464584">
      <w:bodyDiv w:val="1"/>
      <w:marLeft w:val="0"/>
      <w:marRight w:val="0"/>
      <w:marTop w:val="0"/>
      <w:marBottom w:val="0"/>
      <w:divBdr>
        <w:top w:val="none" w:sz="0" w:space="0" w:color="auto"/>
        <w:left w:val="none" w:sz="0" w:space="0" w:color="auto"/>
        <w:bottom w:val="none" w:sz="0" w:space="0" w:color="auto"/>
        <w:right w:val="none" w:sz="0" w:space="0" w:color="auto"/>
      </w:divBdr>
    </w:div>
    <w:div w:id="882404538">
      <w:bodyDiv w:val="1"/>
      <w:marLeft w:val="0"/>
      <w:marRight w:val="0"/>
      <w:marTop w:val="0"/>
      <w:marBottom w:val="0"/>
      <w:divBdr>
        <w:top w:val="none" w:sz="0" w:space="0" w:color="auto"/>
        <w:left w:val="none" w:sz="0" w:space="0" w:color="auto"/>
        <w:bottom w:val="none" w:sz="0" w:space="0" w:color="auto"/>
        <w:right w:val="none" w:sz="0" w:space="0" w:color="auto"/>
      </w:divBdr>
      <w:divsChild>
        <w:div w:id="1738556208">
          <w:marLeft w:val="0"/>
          <w:marRight w:val="0"/>
          <w:marTop w:val="0"/>
          <w:marBottom w:val="0"/>
          <w:divBdr>
            <w:top w:val="none" w:sz="0" w:space="0" w:color="auto"/>
            <w:left w:val="none" w:sz="0" w:space="0" w:color="auto"/>
            <w:bottom w:val="none" w:sz="0" w:space="0" w:color="auto"/>
            <w:right w:val="none" w:sz="0" w:space="0" w:color="auto"/>
          </w:divBdr>
          <w:divsChild>
            <w:div w:id="246774418">
              <w:marLeft w:val="0"/>
              <w:marRight w:val="0"/>
              <w:marTop w:val="0"/>
              <w:marBottom w:val="0"/>
              <w:divBdr>
                <w:top w:val="none" w:sz="0" w:space="0" w:color="auto"/>
                <w:left w:val="none" w:sz="0" w:space="0" w:color="auto"/>
                <w:bottom w:val="none" w:sz="0" w:space="0" w:color="auto"/>
                <w:right w:val="none" w:sz="0" w:space="0" w:color="auto"/>
              </w:divBdr>
              <w:divsChild>
                <w:div w:id="215161998">
                  <w:marLeft w:val="0"/>
                  <w:marRight w:val="0"/>
                  <w:marTop w:val="0"/>
                  <w:marBottom w:val="0"/>
                  <w:divBdr>
                    <w:top w:val="none" w:sz="0" w:space="0" w:color="auto"/>
                    <w:left w:val="none" w:sz="0" w:space="0" w:color="auto"/>
                    <w:bottom w:val="none" w:sz="0" w:space="0" w:color="auto"/>
                    <w:right w:val="none" w:sz="0" w:space="0" w:color="auto"/>
                  </w:divBdr>
                  <w:divsChild>
                    <w:div w:id="1025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4215">
          <w:marLeft w:val="0"/>
          <w:marRight w:val="0"/>
          <w:marTop w:val="0"/>
          <w:marBottom w:val="0"/>
          <w:divBdr>
            <w:top w:val="none" w:sz="0" w:space="0" w:color="auto"/>
            <w:left w:val="none" w:sz="0" w:space="0" w:color="auto"/>
            <w:bottom w:val="none" w:sz="0" w:space="0" w:color="auto"/>
            <w:right w:val="none" w:sz="0" w:space="0" w:color="auto"/>
          </w:divBdr>
          <w:divsChild>
            <w:div w:id="1121996258">
              <w:marLeft w:val="0"/>
              <w:marRight w:val="0"/>
              <w:marTop w:val="0"/>
              <w:marBottom w:val="0"/>
              <w:divBdr>
                <w:top w:val="none" w:sz="0" w:space="0" w:color="auto"/>
                <w:left w:val="none" w:sz="0" w:space="0" w:color="auto"/>
                <w:bottom w:val="none" w:sz="0" w:space="0" w:color="auto"/>
                <w:right w:val="none" w:sz="0" w:space="0" w:color="auto"/>
              </w:divBdr>
              <w:divsChild>
                <w:div w:id="2121148500">
                  <w:marLeft w:val="0"/>
                  <w:marRight w:val="0"/>
                  <w:marTop w:val="0"/>
                  <w:marBottom w:val="0"/>
                  <w:divBdr>
                    <w:top w:val="none" w:sz="0" w:space="0" w:color="auto"/>
                    <w:left w:val="none" w:sz="0" w:space="0" w:color="auto"/>
                    <w:bottom w:val="none" w:sz="0" w:space="0" w:color="auto"/>
                    <w:right w:val="none" w:sz="0" w:space="0" w:color="auto"/>
                  </w:divBdr>
                  <w:divsChild>
                    <w:div w:id="927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9738">
      <w:bodyDiv w:val="1"/>
      <w:marLeft w:val="0"/>
      <w:marRight w:val="0"/>
      <w:marTop w:val="0"/>
      <w:marBottom w:val="0"/>
      <w:divBdr>
        <w:top w:val="none" w:sz="0" w:space="0" w:color="auto"/>
        <w:left w:val="none" w:sz="0" w:space="0" w:color="auto"/>
        <w:bottom w:val="none" w:sz="0" w:space="0" w:color="auto"/>
        <w:right w:val="none" w:sz="0" w:space="0" w:color="auto"/>
      </w:divBdr>
    </w:div>
    <w:div w:id="910312747">
      <w:bodyDiv w:val="1"/>
      <w:marLeft w:val="0"/>
      <w:marRight w:val="0"/>
      <w:marTop w:val="0"/>
      <w:marBottom w:val="0"/>
      <w:divBdr>
        <w:top w:val="none" w:sz="0" w:space="0" w:color="auto"/>
        <w:left w:val="none" w:sz="0" w:space="0" w:color="auto"/>
        <w:bottom w:val="none" w:sz="0" w:space="0" w:color="auto"/>
        <w:right w:val="none" w:sz="0" w:space="0" w:color="auto"/>
      </w:divBdr>
    </w:div>
    <w:div w:id="946543480">
      <w:bodyDiv w:val="1"/>
      <w:marLeft w:val="0"/>
      <w:marRight w:val="0"/>
      <w:marTop w:val="0"/>
      <w:marBottom w:val="0"/>
      <w:divBdr>
        <w:top w:val="none" w:sz="0" w:space="0" w:color="auto"/>
        <w:left w:val="none" w:sz="0" w:space="0" w:color="auto"/>
        <w:bottom w:val="none" w:sz="0" w:space="0" w:color="auto"/>
        <w:right w:val="none" w:sz="0" w:space="0" w:color="auto"/>
      </w:divBdr>
    </w:div>
    <w:div w:id="959457682">
      <w:bodyDiv w:val="1"/>
      <w:marLeft w:val="0"/>
      <w:marRight w:val="0"/>
      <w:marTop w:val="0"/>
      <w:marBottom w:val="0"/>
      <w:divBdr>
        <w:top w:val="none" w:sz="0" w:space="0" w:color="auto"/>
        <w:left w:val="none" w:sz="0" w:space="0" w:color="auto"/>
        <w:bottom w:val="none" w:sz="0" w:space="0" w:color="auto"/>
        <w:right w:val="none" w:sz="0" w:space="0" w:color="auto"/>
      </w:divBdr>
      <w:divsChild>
        <w:div w:id="719674843">
          <w:marLeft w:val="547"/>
          <w:marRight w:val="0"/>
          <w:marTop w:val="0"/>
          <w:marBottom w:val="0"/>
          <w:divBdr>
            <w:top w:val="none" w:sz="0" w:space="0" w:color="auto"/>
            <w:left w:val="none" w:sz="0" w:space="0" w:color="auto"/>
            <w:bottom w:val="none" w:sz="0" w:space="0" w:color="auto"/>
            <w:right w:val="none" w:sz="0" w:space="0" w:color="auto"/>
          </w:divBdr>
        </w:div>
      </w:divsChild>
    </w:div>
    <w:div w:id="1011764047">
      <w:bodyDiv w:val="1"/>
      <w:marLeft w:val="0"/>
      <w:marRight w:val="0"/>
      <w:marTop w:val="0"/>
      <w:marBottom w:val="0"/>
      <w:divBdr>
        <w:top w:val="none" w:sz="0" w:space="0" w:color="auto"/>
        <w:left w:val="none" w:sz="0" w:space="0" w:color="auto"/>
        <w:bottom w:val="none" w:sz="0" w:space="0" w:color="auto"/>
        <w:right w:val="none" w:sz="0" w:space="0" w:color="auto"/>
      </w:divBdr>
      <w:divsChild>
        <w:div w:id="969745602">
          <w:marLeft w:val="0"/>
          <w:marRight w:val="0"/>
          <w:marTop w:val="0"/>
          <w:marBottom w:val="0"/>
          <w:divBdr>
            <w:top w:val="none" w:sz="0" w:space="0" w:color="auto"/>
            <w:left w:val="none" w:sz="0" w:space="0" w:color="auto"/>
            <w:bottom w:val="none" w:sz="0" w:space="0" w:color="auto"/>
            <w:right w:val="none" w:sz="0" w:space="0" w:color="auto"/>
          </w:divBdr>
          <w:divsChild>
            <w:div w:id="1585608120">
              <w:marLeft w:val="0"/>
              <w:marRight w:val="0"/>
              <w:marTop w:val="0"/>
              <w:marBottom w:val="0"/>
              <w:divBdr>
                <w:top w:val="none" w:sz="0" w:space="0" w:color="auto"/>
                <w:left w:val="none" w:sz="0" w:space="0" w:color="auto"/>
                <w:bottom w:val="none" w:sz="0" w:space="0" w:color="auto"/>
                <w:right w:val="none" w:sz="0" w:space="0" w:color="auto"/>
              </w:divBdr>
              <w:divsChild>
                <w:div w:id="6597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2080">
      <w:bodyDiv w:val="1"/>
      <w:marLeft w:val="0"/>
      <w:marRight w:val="0"/>
      <w:marTop w:val="0"/>
      <w:marBottom w:val="0"/>
      <w:divBdr>
        <w:top w:val="none" w:sz="0" w:space="0" w:color="auto"/>
        <w:left w:val="none" w:sz="0" w:space="0" w:color="auto"/>
        <w:bottom w:val="none" w:sz="0" w:space="0" w:color="auto"/>
        <w:right w:val="none" w:sz="0" w:space="0" w:color="auto"/>
      </w:divBdr>
    </w:div>
    <w:div w:id="1093549224">
      <w:bodyDiv w:val="1"/>
      <w:marLeft w:val="0"/>
      <w:marRight w:val="0"/>
      <w:marTop w:val="0"/>
      <w:marBottom w:val="0"/>
      <w:divBdr>
        <w:top w:val="none" w:sz="0" w:space="0" w:color="auto"/>
        <w:left w:val="none" w:sz="0" w:space="0" w:color="auto"/>
        <w:bottom w:val="none" w:sz="0" w:space="0" w:color="auto"/>
        <w:right w:val="none" w:sz="0" w:space="0" w:color="auto"/>
      </w:divBdr>
    </w:div>
    <w:div w:id="1096243326">
      <w:bodyDiv w:val="1"/>
      <w:marLeft w:val="0"/>
      <w:marRight w:val="0"/>
      <w:marTop w:val="0"/>
      <w:marBottom w:val="0"/>
      <w:divBdr>
        <w:top w:val="none" w:sz="0" w:space="0" w:color="auto"/>
        <w:left w:val="none" w:sz="0" w:space="0" w:color="auto"/>
        <w:bottom w:val="none" w:sz="0" w:space="0" w:color="auto"/>
        <w:right w:val="none" w:sz="0" w:space="0" w:color="auto"/>
      </w:divBdr>
    </w:div>
    <w:div w:id="1101297534">
      <w:bodyDiv w:val="1"/>
      <w:marLeft w:val="0"/>
      <w:marRight w:val="0"/>
      <w:marTop w:val="0"/>
      <w:marBottom w:val="0"/>
      <w:divBdr>
        <w:top w:val="none" w:sz="0" w:space="0" w:color="auto"/>
        <w:left w:val="none" w:sz="0" w:space="0" w:color="auto"/>
        <w:bottom w:val="none" w:sz="0" w:space="0" w:color="auto"/>
        <w:right w:val="none" w:sz="0" w:space="0" w:color="auto"/>
      </w:divBdr>
    </w:div>
    <w:div w:id="1110314717">
      <w:bodyDiv w:val="1"/>
      <w:marLeft w:val="0"/>
      <w:marRight w:val="0"/>
      <w:marTop w:val="0"/>
      <w:marBottom w:val="0"/>
      <w:divBdr>
        <w:top w:val="none" w:sz="0" w:space="0" w:color="auto"/>
        <w:left w:val="none" w:sz="0" w:space="0" w:color="auto"/>
        <w:bottom w:val="none" w:sz="0" w:space="0" w:color="auto"/>
        <w:right w:val="none" w:sz="0" w:space="0" w:color="auto"/>
      </w:divBdr>
    </w:div>
    <w:div w:id="1113868096">
      <w:bodyDiv w:val="1"/>
      <w:marLeft w:val="0"/>
      <w:marRight w:val="0"/>
      <w:marTop w:val="0"/>
      <w:marBottom w:val="0"/>
      <w:divBdr>
        <w:top w:val="none" w:sz="0" w:space="0" w:color="auto"/>
        <w:left w:val="none" w:sz="0" w:space="0" w:color="auto"/>
        <w:bottom w:val="none" w:sz="0" w:space="0" w:color="auto"/>
        <w:right w:val="none" w:sz="0" w:space="0" w:color="auto"/>
      </w:divBdr>
    </w:div>
    <w:div w:id="1135223128">
      <w:bodyDiv w:val="1"/>
      <w:marLeft w:val="0"/>
      <w:marRight w:val="0"/>
      <w:marTop w:val="0"/>
      <w:marBottom w:val="0"/>
      <w:divBdr>
        <w:top w:val="none" w:sz="0" w:space="0" w:color="auto"/>
        <w:left w:val="none" w:sz="0" w:space="0" w:color="auto"/>
        <w:bottom w:val="none" w:sz="0" w:space="0" w:color="auto"/>
        <w:right w:val="none" w:sz="0" w:space="0" w:color="auto"/>
      </w:divBdr>
    </w:div>
    <w:div w:id="1184172891">
      <w:bodyDiv w:val="1"/>
      <w:marLeft w:val="0"/>
      <w:marRight w:val="0"/>
      <w:marTop w:val="0"/>
      <w:marBottom w:val="0"/>
      <w:divBdr>
        <w:top w:val="none" w:sz="0" w:space="0" w:color="auto"/>
        <w:left w:val="none" w:sz="0" w:space="0" w:color="auto"/>
        <w:bottom w:val="none" w:sz="0" w:space="0" w:color="auto"/>
        <w:right w:val="none" w:sz="0" w:space="0" w:color="auto"/>
      </w:divBdr>
    </w:div>
    <w:div w:id="1198852551">
      <w:bodyDiv w:val="1"/>
      <w:marLeft w:val="0"/>
      <w:marRight w:val="0"/>
      <w:marTop w:val="0"/>
      <w:marBottom w:val="0"/>
      <w:divBdr>
        <w:top w:val="none" w:sz="0" w:space="0" w:color="auto"/>
        <w:left w:val="none" w:sz="0" w:space="0" w:color="auto"/>
        <w:bottom w:val="none" w:sz="0" w:space="0" w:color="auto"/>
        <w:right w:val="none" w:sz="0" w:space="0" w:color="auto"/>
      </w:divBdr>
      <w:divsChild>
        <w:div w:id="1709447700">
          <w:marLeft w:val="0"/>
          <w:marRight w:val="0"/>
          <w:marTop w:val="0"/>
          <w:marBottom w:val="0"/>
          <w:divBdr>
            <w:top w:val="none" w:sz="0" w:space="0" w:color="auto"/>
            <w:left w:val="none" w:sz="0" w:space="0" w:color="auto"/>
            <w:bottom w:val="none" w:sz="0" w:space="0" w:color="auto"/>
            <w:right w:val="none" w:sz="0" w:space="0" w:color="auto"/>
          </w:divBdr>
        </w:div>
        <w:div w:id="2089886965">
          <w:marLeft w:val="0"/>
          <w:marRight w:val="96"/>
          <w:marTop w:val="0"/>
          <w:marBottom w:val="0"/>
          <w:divBdr>
            <w:top w:val="none" w:sz="0" w:space="0" w:color="auto"/>
            <w:left w:val="none" w:sz="0" w:space="0" w:color="auto"/>
            <w:bottom w:val="none" w:sz="0" w:space="0" w:color="auto"/>
            <w:right w:val="none" w:sz="0" w:space="0" w:color="auto"/>
          </w:divBdr>
        </w:div>
        <w:div w:id="1262489980">
          <w:marLeft w:val="0"/>
          <w:marRight w:val="96"/>
          <w:marTop w:val="0"/>
          <w:marBottom w:val="0"/>
          <w:divBdr>
            <w:top w:val="none" w:sz="0" w:space="0" w:color="auto"/>
            <w:left w:val="none" w:sz="0" w:space="0" w:color="auto"/>
            <w:bottom w:val="none" w:sz="0" w:space="0" w:color="auto"/>
            <w:right w:val="none" w:sz="0" w:space="0" w:color="auto"/>
          </w:divBdr>
        </w:div>
        <w:div w:id="1526359239">
          <w:marLeft w:val="0"/>
          <w:marRight w:val="95"/>
          <w:marTop w:val="280"/>
          <w:marBottom w:val="280"/>
          <w:divBdr>
            <w:top w:val="none" w:sz="0" w:space="0" w:color="auto"/>
            <w:left w:val="none" w:sz="0" w:space="0" w:color="auto"/>
            <w:bottom w:val="none" w:sz="0" w:space="0" w:color="auto"/>
            <w:right w:val="none" w:sz="0" w:space="0" w:color="auto"/>
          </w:divBdr>
        </w:div>
        <w:div w:id="1159228532">
          <w:marLeft w:val="0"/>
          <w:marRight w:val="0"/>
          <w:marTop w:val="280"/>
          <w:marBottom w:val="280"/>
          <w:divBdr>
            <w:top w:val="none" w:sz="0" w:space="0" w:color="auto"/>
            <w:left w:val="none" w:sz="0" w:space="0" w:color="auto"/>
            <w:bottom w:val="none" w:sz="0" w:space="0" w:color="auto"/>
            <w:right w:val="none" w:sz="0" w:space="0" w:color="auto"/>
          </w:divBdr>
        </w:div>
      </w:divsChild>
    </w:div>
    <w:div w:id="1225142391">
      <w:bodyDiv w:val="1"/>
      <w:marLeft w:val="0"/>
      <w:marRight w:val="0"/>
      <w:marTop w:val="0"/>
      <w:marBottom w:val="0"/>
      <w:divBdr>
        <w:top w:val="none" w:sz="0" w:space="0" w:color="auto"/>
        <w:left w:val="none" w:sz="0" w:space="0" w:color="auto"/>
        <w:bottom w:val="none" w:sz="0" w:space="0" w:color="auto"/>
        <w:right w:val="none" w:sz="0" w:space="0" w:color="auto"/>
      </w:divBdr>
      <w:divsChild>
        <w:div w:id="1137066978">
          <w:marLeft w:val="0"/>
          <w:marRight w:val="0"/>
          <w:marTop w:val="0"/>
          <w:marBottom w:val="0"/>
          <w:divBdr>
            <w:top w:val="none" w:sz="0" w:space="0" w:color="auto"/>
            <w:left w:val="none" w:sz="0" w:space="0" w:color="auto"/>
            <w:bottom w:val="none" w:sz="0" w:space="0" w:color="auto"/>
            <w:right w:val="none" w:sz="0" w:space="0" w:color="auto"/>
          </w:divBdr>
        </w:div>
        <w:div w:id="1396926443">
          <w:marLeft w:val="0"/>
          <w:marRight w:val="0"/>
          <w:marTop w:val="0"/>
          <w:marBottom w:val="0"/>
          <w:divBdr>
            <w:top w:val="none" w:sz="0" w:space="0" w:color="auto"/>
            <w:left w:val="none" w:sz="0" w:space="0" w:color="auto"/>
            <w:bottom w:val="none" w:sz="0" w:space="0" w:color="auto"/>
            <w:right w:val="none" w:sz="0" w:space="0" w:color="auto"/>
          </w:divBdr>
        </w:div>
        <w:div w:id="2094661788">
          <w:marLeft w:val="0"/>
          <w:marRight w:val="0"/>
          <w:marTop w:val="0"/>
          <w:marBottom w:val="0"/>
          <w:divBdr>
            <w:top w:val="none" w:sz="0" w:space="0" w:color="auto"/>
            <w:left w:val="none" w:sz="0" w:space="0" w:color="auto"/>
            <w:bottom w:val="none" w:sz="0" w:space="0" w:color="auto"/>
            <w:right w:val="none" w:sz="0" w:space="0" w:color="auto"/>
          </w:divBdr>
          <w:divsChild>
            <w:div w:id="264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2148">
      <w:bodyDiv w:val="1"/>
      <w:marLeft w:val="0"/>
      <w:marRight w:val="0"/>
      <w:marTop w:val="0"/>
      <w:marBottom w:val="0"/>
      <w:divBdr>
        <w:top w:val="none" w:sz="0" w:space="0" w:color="auto"/>
        <w:left w:val="none" w:sz="0" w:space="0" w:color="auto"/>
        <w:bottom w:val="none" w:sz="0" w:space="0" w:color="auto"/>
        <w:right w:val="none" w:sz="0" w:space="0" w:color="auto"/>
      </w:divBdr>
    </w:div>
    <w:div w:id="1313753086">
      <w:bodyDiv w:val="1"/>
      <w:marLeft w:val="0"/>
      <w:marRight w:val="0"/>
      <w:marTop w:val="0"/>
      <w:marBottom w:val="0"/>
      <w:divBdr>
        <w:top w:val="none" w:sz="0" w:space="0" w:color="auto"/>
        <w:left w:val="none" w:sz="0" w:space="0" w:color="auto"/>
        <w:bottom w:val="none" w:sz="0" w:space="0" w:color="auto"/>
        <w:right w:val="none" w:sz="0" w:space="0" w:color="auto"/>
      </w:divBdr>
      <w:divsChild>
        <w:div w:id="1144005430">
          <w:marLeft w:val="720"/>
          <w:marRight w:val="0"/>
          <w:marTop w:val="0"/>
          <w:marBottom w:val="0"/>
          <w:divBdr>
            <w:top w:val="none" w:sz="0" w:space="0" w:color="auto"/>
            <w:left w:val="none" w:sz="0" w:space="0" w:color="auto"/>
            <w:bottom w:val="none" w:sz="0" w:space="0" w:color="auto"/>
            <w:right w:val="none" w:sz="0" w:space="0" w:color="auto"/>
          </w:divBdr>
        </w:div>
        <w:div w:id="1435399261">
          <w:marLeft w:val="1440"/>
          <w:marRight w:val="0"/>
          <w:marTop w:val="0"/>
          <w:marBottom w:val="0"/>
          <w:divBdr>
            <w:top w:val="none" w:sz="0" w:space="0" w:color="auto"/>
            <w:left w:val="none" w:sz="0" w:space="0" w:color="auto"/>
            <w:bottom w:val="none" w:sz="0" w:space="0" w:color="auto"/>
            <w:right w:val="none" w:sz="0" w:space="0" w:color="auto"/>
          </w:divBdr>
        </w:div>
      </w:divsChild>
    </w:div>
    <w:div w:id="1334336836">
      <w:bodyDiv w:val="1"/>
      <w:marLeft w:val="0"/>
      <w:marRight w:val="0"/>
      <w:marTop w:val="0"/>
      <w:marBottom w:val="0"/>
      <w:divBdr>
        <w:top w:val="none" w:sz="0" w:space="0" w:color="auto"/>
        <w:left w:val="none" w:sz="0" w:space="0" w:color="auto"/>
        <w:bottom w:val="none" w:sz="0" w:space="0" w:color="auto"/>
        <w:right w:val="none" w:sz="0" w:space="0" w:color="auto"/>
      </w:divBdr>
      <w:divsChild>
        <w:div w:id="281109147">
          <w:marLeft w:val="0"/>
          <w:marRight w:val="0"/>
          <w:marTop w:val="0"/>
          <w:marBottom w:val="0"/>
          <w:divBdr>
            <w:top w:val="none" w:sz="0" w:space="0" w:color="auto"/>
            <w:left w:val="none" w:sz="0" w:space="0" w:color="auto"/>
            <w:bottom w:val="none" w:sz="0" w:space="0" w:color="auto"/>
            <w:right w:val="none" w:sz="0" w:space="0" w:color="auto"/>
          </w:divBdr>
        </w:div>
        <w:div w:id="1614357855">
          <w:marLeft w:val="0"/>
          <w:marRight w:val="0"/>
          <w:marTop w:val="0"/>
          <w:marBottom w:val="0"/>
          <w:divBdr>
            <w:top w:val="none" w:sz="0" w:space="0" w:color="auto"/>
            <w:left w:val="none" w:sz="0" w:space="0" w:color="auto"/>
            <w:bottom w:val="none" w:sz="0" w:space="0" w:color="auto"/>
            <w:right w:val="none" w:sz="0" w:space="0" w:color="auto"/>
          </w:divBdr>
        </w:div>
      </w:divsChild>
    </w:div>
    <w:div w:id="1376079858">
      <w:bodyDiv w:val="1"/>
      <w:marLeft w:val="0"/>
      <w:marRight w:val="0"/>
      <w:marTop w:val="0"/>
      <w:marBottom w:val="0"/>
      <w:divBdr>
        <w:top w:val="none" w:sz="0" w:space="0" w:color="auto"/>
        <w:left w:val="none" w:sz="0" w:space="0" w:color="auto"/>
        <w:bottom w:val="none" w:sz="0" w:space="0" w:color="auto"/>
        <w:right w:val="none" w:sz="0" w:space="0" w:color="auto"/>
      </w:divBdr>
    </w:div>
    <w:div w:id="1411191554">
      <w:bodyDiv w:val="1"/>
      <w:marLeft w:val="0"/>
      <w:marRight w:val="0"/>
      <w:marTop w:val="0"/>
      <w:marBottom w:val="0"/>
      <w:divBdr>
        <w:top w:val="none" w:sz="0" w:space="0" w:color="auto"/>
        <w:left w:val="none" w:sz="0" w:space="0" w:color="auto"/>
        <w:bottom w:val="none" w:sz="0" w:space="0" w:color="auto"/>
        <w:right w:val="none" w:sz="0" w:space="0" w:color="auto"/>
      </w:divBdr>
    </w:div>
    <w:div w:id="1454591247">
      <w:bodyDiv w:val="1"/>
      <w:marLeft w:val="0"/>
      <w:marRight w:val="0"/>
      <w:marTop w:val="0"/>
      <w:marBottom w:val="0"/>
      <w:divBdr>
        <w:top w:val="none" w:sz="0" w:space="0" w:color="auto"/>
        <w:left w:val="none" w:sz="0" w:space="0" w:color="auto"/>
        <w:bottom w:val="none" w:sz="0" w:space="0" w:color="auto"/>
        <w:right w:val="none" w:sz="0" w:space="0" w:color="auto"/>
      </w:divBdr>
      <w:divsChild>
        <w:div w:id="2033335597">
          <w:marLeft w:val="0"/>
          <w:marRight w:val="0"/>
          <w:marTop w:val="280"/>
          <w:marBottom w:val="280"/>
          <w:divBdr>
            <w:top w:val="none" w:sz="0" w:space="0" w:color="auto"/>
            <w:left w:val="none" w:sz="0" w:space="0" w:color="auto"/>
            <w:bottom w:val="none" w:sz="0" w:space="0" w:color="auto"/>
            <w:right w:val="none" w:sz="0" w:space="0" w:color="auto"/>
          </w:divBdr>
        </w:div>
        <w:div w:id="97722252">
          <w:marLeft w:val="0"/>
          <w:marRight w:val="0"/>
          <w:marTop w:val="280"/>
          <w:marBottom w:val="280"/>
          <w:divBdr>
            <w:top w:val="none" w:sz="0" w:space="0" w:color="auto"/>
            <w:left w:val="none" w:sz="0" w:space="0" w:color="auto"/>
            <w:bottom w:val="none" w:sz="0" w:space="0" w:color="auto"/>
            <w:right w:val="none" w:sz="0" w:space="0" w:color="auto"/>
          </w:divBdr>
        </w:div>
        <w:div w:id="1155218580">
          <w:marLeft w:val="1134"/>
          <w:marRight w:val="0"/>
          <w:marTop w:val="280"/>
          <w:marBottom w:val="0"/>
          <w:divBdr>
            <w:top w:val="none" w:sz="0" w:space="0" w:color="auto"/>
            <w:left w:val="none" w:sz="0" w:space="0" w:color="auto"/>
            <w:bottom w:val="none" w:sz="0" w:space="0" w:color="auto"/>
            <w:right w:val="none" w:sz="0" w:space="0" w:color="auto"/>
          </w:divBdr>
        </w:div>
        <w:div w:id="262033993">
          <w:marLeft w:val="1134"/>
          <w:marRight w:val="0"/>
          <w:marTop w:val="280"/>
          <w:marBottom w:val="0"/>
          <w:divBdr>
            <w:top w:val="none" w:sz="0" w:space="0" w:color="auto"/>
            <w:left w:val="none" w:sz="0" w:space="0" w:color="auto"/>
            <w:bottom w:val="none" w:sz="0" w:space="0" w:color="auto"/>
            <w:right w:val="none" w:sz="0" w:space="0" w:color="auto"/>
          </w:divBdr>
        </w:div>
        <w:div w:id="1361708014">
          <w:marLeft w:val="1644"/>
          <w:marRight w:val="0"/>
          <w:marTop w:val="280"/>
          <w:marBottom w:val="0"/>
          <w:divBdr>
            <w:top w:val="none" w:sz="0" w:space="0" w:color="auto"/>
            <w:left w:val="none" w:sz="0" w:space="0" w:color="auto"/>
            <w:bottom w:val="none" w:sz="0" w:space="0" w:color="auto"/>
            <w:right w:val="none" w:sz="0" w:space="0" w:color="auto"/>
          </w:divBdr>
        </w:div>
        <w:div w:id="971639428">
          <w:marLeft w:val="0"/>
          <w:marRight w:val="0"/>
          <w:marTop w:val="280"/>
          <w:marBottom w:val="280"/>
          <w:divBdr>
            <w:top w:val="none" w:sz="0" w:space="0" w:color="auto"/>
            <w:left w:val="none" w:sz="0" w:space="0" w:color="auto"/>
            <w:bottom w:val="none" w:sz="0" w:space="0" w:color="auto"/>
            <w:right w:val="none" w:sz="0" w:space="0" w:color="auto"/>
          </w:divBdr>
        </w:div>
        <w:div w:id="1837652663">
          <w:marLeft w:val="0"/>
          <w:marRight w:val="0"/>
          <w:marTop w:val="280"/>
          <w:marBottom w:val="280"/>
          <w:divBdr>
            <w:top w:val="none" w:sz="0" w:space="0" w:color="auto"/>
            <w:left w:val="none" w:sz="0" w:space="0" w:color="auto"/>
            <w:bottom w:val="none" w:sz="0" w:space="0" w:color="auto"/>
            <w:right w:val="none" w:sz="0" w:space="0" w:color="auto"/>
          </w:divBdr>
        </w:div>
        <w:div w:id="1127819535">
          <w:marLeft w:val="0"/>
          <w:marRight w:val="0"/>
          <w:marTop w:val="280"/>
          <w:marBottom w:val="280"/>
          <w:divBdr>
            <w:top w:val="none" w:sz="0" w:space="0" w:color="auto"/>
            <w:left w:val="none" w:sz="0" w:space="0" w:color="auto"/>
            <w:bottom w:val="none" w:sz="0" w:space="0" w:color="auto"/>
            <w:right w:val="none" w:sz="0" w:space="0" w:color="auto"/>
          </w:divBdr>
        </w:div>
        <w:div w:id="695542796">
          <w:marLeft w:val="0"/>
          <w:marRight w:val="0"/>
          <w:marTop w:val="280"/>
          <w:marBottom w:val="280"/>
          <w:divBdr>
            <w:top w:val="none" w:sz="0" w:space="0" w:color="auto"/>
            <w:left w:val="none" w:sz="0" w:space="0" w:color="auto"/>
            <w:bottom w:val="none" w:sz="0" w:space="0" w:color="auto"/>
            <w:right w:val="none" w:sz="0" w:space="0" w:color="auto"/>
          </w:divBdr>
        </w:div>
        <w:div w:id="2017344000">
          <w:marLeft w:val="0"/>
          <w:marRight w:val="0"/>
          <w:marTop w:val="280"/>
          <w:marBottom w:val="280"/>
          <w:divBdr>
            <w:top w:val="none" w:sz="0" w:space="0" w:color="auto"/>
            <w:left w:val="none" w:sz="0" w:space="0" w:color="auto"/>
            <w:bottom w:val="none" w:sz="0" w:space="0" w:color="auto"/>
            <w:right w:val="none" w:sz="0" w:space="0" w:color="auto"/>
          </w:divBdr>
        </w:div>
        <w:div w:id="869341905">
          <w:marLeft w:val="0"/>
          <w:marRight w:val="0"/>
          <w:marTop w:val="280"/>
          <w:marBottom w:val="280"/>
          <w:divBdr>
            <w:top w:val="none" w:sz="0" w:space="0" w:color="auto"/>
            <w:left w:val="none" w:sz="0" w:space="0" w:color="auto"/>
            <w:bottom w:val="none" w:sz="0" w:space="0" w:color="auto"/>
            <w:right w:val="none" w:sz="0" w:space="0" w:color="auto"/>
          </w:divBdr>
        </w:div>
        <w:div w:id="1234075599">
          <w:marLeft w:val="0"/>
          <w:marRight w:val="0"/>
          <w:marTop w:val="280"/>
          <w:marBottom w:val="280"/>
          <w:divBdr>
            <w:top w:val="none" w:sz="0" w:space="0" w:color="auto"/>
            <w:left w:val="none" w:sz="0" w:space="0" w:color="auto"/>
            <w:bottom w:val="none" w:sz="0" w:space="0" w:color="auto"/>
            <w:right w:val="none" w:sz="0" w:space="0" w:color="auto"/>
          </w:divBdr>
        </w:div>
        <w:div w:id="1535967831">
          <w:marLeft w:val="0"/>
          <w:marRight w:val="0"/>
          <w:marTop w:val="280"/>
          <w:marBottom w:val="280"/>
          <w:divBdr>
            <w:top w:val="none" w:sz="0" w:space="0" w:color="auto"/>
            <w:left w:val="none" w:sz="0" w:space="0" w:color="auto"/>
            <w:bottom w:val="none" w:sz="0" w:space="0" w:color="auto"/>
            <w:right w:val="none" w:sz="0" w:space="0" w:color="auto"/>
          </w:divBdr>
        </w:div>
        <w:div w:id="1085372559">
          <w:marLeft w:val="0"/>
          <w:marRight w:val="0"/>
          <w:marTop w:val="280"/>
          <w:marBottom w:val="280"/>
          <w:divBdr>
            <w:top w:val="none" w:sz="0" w:space="0" w:color="auto"/>
            <w:left w:val="none" w:sz="0" w:space="0" w:color="auto"/>
            <w:bottom w:val="none" w:sz="0" w:space="0" w:color="auto"/>
            <w:right w:val="none" w:sz="0" w:space="0" w:color="auto"/>
          </w:divBdr>
        </w:div>
        <w:div w:id="749157385">
          <w:marLeft w:val="0"/>
          <w:marRight w:val="0"/>
          <w:marTop w:val="280"/>
          <w:marBottom w:val="280"/>
          <w:divBdr>
            <w:top w:val="none" w:sz="0" w:space="0" w:color="auto"/>
            <w:left w:val="none" w:sz="0" w:space="0" w:color="auto"/>
            <w:bottom w:val="none" w:sz="0" w:space="0" w:color="auto"/>
            <w:right w:val="none" w:sz="0" w:space="0" w:color="auto"/>
          </w:divBdr>
        </w:div>
        <w:div w:id="824980382">
          <w:marLeft w:val="0"/>
          <w:marRight w:val="0"/>
          <w:marTop w:val="280"/>
          <w:marBottom w:val="280"/>
          <w:divBdr>
            <w:top w:val="none" w:sz="0" w:space="0" w:color="auto"/>
            <w:left w:val="none" w:sz="0" w:space="0" w:color="auto"/>
            <w:bottom w:val="none" w:sz="0" w:space="0" w:color="auto"/>
            <w:right w:val="none" w:sz="0" w:space="0" w:color="auto"/>
          </w:divBdr>
        </w:div>
        <w:div w:id="1221557683">
          <w:marLeft w:val="0"/>
          <w:marRight w:val="0"/>
          <w:marTop w:val="280"/>
          <w:marBottom w:val="280"/>
          <w:divBdr>
            <w:top w:val="none" w:sz="0" w:space="0" w:color="auto"/>
            <w:left w:val="none" w:sz="0" w:space="0" w:color="auto"/>
            <w:bottom w:val="none" w:sz="0" w:space="0" w:color="auto"/>
            <w:right w:val="none" w:sz="0" w:space="0" w:color="auto"/>
          </w:divBdr>
        </w:div>
        <w:div w:id="1637952538">
          <w:marLeft w:val="0"/>
          <w:marRight w:val="0"/>
          <w:marTop w:val="280"/>
          <w:marBottom w:val="280"/>
          <w:divBdr>
            <w:top w:val="none" w:sz="0" w:space="0" w:color="auto"/>
            <w:left w:val="none" w:sz="0" w:space="0" w:color="auto"/>
            <w:bottom w:val="none" w:sz="0" w:space="0" w:color="auto"/>
            <w:right w:val="none" w:sz="0" w:space="0" w:color="auto"/>
          </w:divBdr>
        </w:div>
        <w:div w:id="2092005570">
          <w:marLeft w:val="0"/>
          <w:marRight w:val="0"/>
          <w:marTop w:val="280"/>
          <w:marBottom w:val="280"/>
          <w:divBdr>
            <w:top w:val="none" w:sz="0" w:space="0" w:color="auto"/>
            <w:left w:val="none" w:sz="0" w:space="0" w:color="auto"/>
            <w:bottom w:val="none" w:sz="0" w:space="0" w:color="auto"/>
            <w:right w:val="none" w:sz="0" w:space="0" w:color="auto"/>
          </w:divBdr>
        </w:div>
        <w:div w:id="1195731466">
          <w:marLeft w:val="0"/>
          <w:marRight w:val="0"/>
          <w:marTop w:val="280"/>
          <w:marBottom w:val="280"/>
          <w:divBdr>
            <w:top w:val="none" w:sz="0" w:space="0" w:color="auto"/>
            <w:left w:val="none" w:sz="0" w:space="0" w:color="auto"/>
            <w:bottom w:val="none" w:sz="0" w:space="0" w:color="auto"/>
            <w:right w:val="none" w:sz="0" w:space="0" w:color="auto"/>
          </w:divBdr>
        </w:div>
        <w:div w:id="833957132">
          <w:marLeft w:val="0"/>
          <w:marRight w:val="0"/>
          <w:marTop w:val="280"/>
          <w:marBottom w:val="280"/>
          <w:divBdr>
            <w:top w:val="none" w:sz="0" w:space="0" w:color="auto"/>
            <w:left w:val="none" w:sz="0" w:space="0" w:color="auto"/>
            <w:bottom w:val="none" w:sz="0" w:space="0" w:color="auto"/>
            <w:right w:val="none" w:sz="0" w:space="0" w:color="auto"/>
          </w:divBdr>
        </w:div>
        <w:div w:id="762381011">
          <w:marLeft w:val="0"/>
          <w:marRight w:val="0"/>
          <w:marTop w:val="280"/>
          <w:marBottom w:val="280"/>
          <w:divBdr>
            <w:top w:val="none" w:sz="0" w:space="0" w:color="auto"/>
            <w:left w:val="none" w:sz="0" w:space="0" w:color="auto"/>
            <w:bottom w:val="none" w:sz="0" w:space="0" w:color="auto"/>
            <w:right w:val="none" w:sz="0" w:space="0" w:color="auto"/>
          </w:divBdr>
        </w:div>
      </w:divsChild>
    </w:div>
    <w:div w:id="1462109506">
      <w:bodyDiv w:val="1"/>
      <w:marLeft w:val="0"/>
      <w:marRight w:val="0"/>
      <w:marTop w:val="0"/>
      <w:marBottom w:val="0"/>
      <w:divBdr>
        <w:top w:val="none" w:sz="0" w:space="0" w:color="auto"/>
        <w:left w:val="none" w:sz="0" w:space="0" w:color="auto"/>
        <w:bottom w:val="none" w:sz="0" w:space="0" w:color="auto"/>
        <w:right w:val="none" w:sz="0" w:space="0" w:color="auto"/>
      </w:divBdr>
    </w:div>
    <w:div w:id="1479149441">
      <w:bodyDiv w:val="1"/>
      <w:marLeft w:val="0"/>
      <w:marRight w:val="0"/>
      <w:marTop w:val="0"/>
      <w:marBottom w:val="0"/>
      <w:divBdr>
        <w:top w:val="none" w:sz="0" w:space="0" w:color="auto"/>
        <w:left w:val="none" w:sz="0" w:space="0" w:color="auto"/>
        <w:bottom w:val="none" w:sz="0" w:space="0" w:color="auto"/>
        <w:right w:val="none" w:sz="0" w:space="0" w:color="auto"/>
      </w:divBdr>
    </w:div>
    <w:div w:id="1488132905">
      <w:bodyDiv w:val="1"/>
      <w:marLeft w:val="0"/>
      <w:marRight w:val="0"/>
      <w:marTop w:val="0"/>
      <w:marBottom w:val="0"/>
      <w:divBdr>
        <w:top w:val="none" w:sz="0" w:space="0" w:color="auto"/>
        <w:left w:val="none" w:sz="0" w:space="0" w:color="auto"/>
        <w:bottom w:val="none" w:sz="0" w:space="0" w:color="auto"/>
        <w:right w:val="none" w:sz="0" w:space="0" w:color="auto"/>
      </w:divBdr>
    </w:div>
    <w:div w:id="1523321220">
      <w:bodyDiv w:val="1"/>
      <w:marLeft w:val="0"/>
      <w:marRight w:val="0"/>
      <w:marTop w:val="0"/>
      <w:marBottom w:val="0"/>
      <w:divBdr>
        <w:top w:val="none" w:sz="0" w:space="0" w:color="auto"/>
        <w:left w:val="none" w:sz="0" w:space="0" w:color="auto"/>
        <w:bottom w:val="none" w:sz="0" w:space="0" w:color="auto"/>
        <w:right w:val="none" w:sz="0" w:space="0" w:color="auto"/>
      </w:divBdr>
    </w:div>
    <w:div w:id="1547835744">
      <w:bodyDiv w:val="1"/>
      <w:marLeft w:val="0"/>
      <w:marRight w:val="0"/>
      <w:marTop w:val="0"/>
      <w:marBottom w:val="0"/>
      <w:divBdr>
        <w:top w:val="none" w:sz="0" w:space="0" w:color="auto"/>
        <w:left w:val="none" w:sz="0" w:space="0" w:color="auto"/>
        <w:bottom w:val="none" w:sz="0" w:space="0" w:color="auto"/>
        <w:right w:val="none" w:sz="0" w:space="0" w:color="auto"/>
      </w:divBdr>
    </w:div>
    <w:div w:id="1605577824">
      <w:bodyDiv w:val="1"/>
      <w:marLeft w:val="0"/>
      <w:marRight w:val="0"/>
      <w:marTop w:val="0"/>
      <w:marBottom w:val="0"/>
      <w:divBdr>
        <w:top w:val="none" w:sz="0" w:space="0" w:color="auto"/>
        <w:left w:val="none" w:sz="0" w:space="0" w:color="auto"/>
        <w:bottom w:val="none" w:sz="0" w:space="0" w:color="auto"/>
        <w:right w:val="none" w:sz="0" w:space="0" w:color="auto"/>
      </w:divBdr>
    </w:div>
    <w:div w:id="1613513870">
      <w:bodyDiv w:val="1"/>
      <w:marLeft w:val="0"/>
      <w:marRight w:val="0"/>
      <w:marTop w:val="0"/>
      <w:marBottom w:val="0"/>
      <w:divBdr>
        <w:top w:val="none" w:sz="0" w:space="0" w:color="auto"/>
        <w:left w:val="none" w:sz="0" w:space="0" w:color="auto"/>
        <w:bottom w:val="none" w:sz="0" w:space="0" w:color="auto"/>
        <w:right w:val="none" w:sz="0" w:space="0" w:color="auto"/>
      </w:divBdr>
      <w:divsChild>
        <w:div w:id="594166518">
          <w:marLeft w:val="0"/>
          <w:marRight w:val="0"/>
          <w:marTop w:val="0"/>
          <w:marBottom w:val="0"/>
          <w:divBdr>
            <w:top w:val="none" w:sz="0" w:space="0" w:color="auto"/>
            <w:left w:val="none" w:sz="0" w:space="0" w:color="auto"/>
            <w:bottom w:val="none" w:sz="0" w:space="0" w:color="auto"/>
            <w:right w:val="none" w:sz="0" w:space="0" w:color="auto"/>
          </w:divBdr>
        </w:div>
        <w:div w:id="1641567262">
          <w:marLeft w:val="0"/>
          <w:marRight w:val="0"/>
          <w:marTop w:val="0"/>
          <w:marBottom w:val="0"/>
          <w:divBdr>
            <w:top w:val="none" w:sz="0" w:space="0" w:color="auto"/>
            <w:left w:val="none" w:sz="0" w:space="0" w:color="auto"/>
            <w:bottom w:val="none" w:sz="0" w:space="0" w:color="auto"/>
            <w:right w:val="none" w:sz="0" w:space="0" w:color="auto"/>
          </w:divBdr>
        </w:div>
      </w:divsChild>
    </w:div>
    <w:div w:id="1632133089">
      <w:bodyDiv w:val="1"/>
      <w:marLeft w:val="0"/>
      <w:marRight w:val="0"/>
      <w:marTop w:val="0"/>
      <w:marBottom w:val="0"/>
      <w:divBdr>
        <w:top w:val="none" w:sz="0" w:space="0" w:color="auto"/>
        <w:left w:val="none" w:sz="0" w:space="0" w:color="auto"/>
        <w:bottom w:val="none" w:sz="0" w:space="0" w:color="auto"/>
        <w:right w:val="none" w:sz="0" w:space="0" w:color="auto"/>
      </w:divBdr>
    </w:div>
    <w:div w:id="1671912572">
      <w:bodyDiv w:val="1"/>
      <w:marLeft w:val="0"/>
      <w:marRight w:val="0"/>
      <w:marTop w:val="0"/>
      <w:marBottom w:val="0"/>
      <w:divBdr>
        <w:top w:val="none" w:sz="0" w:space="0" w:color="auto"/>
        <w:left w:val="none" w:sz="0" w:space="0" w:color="auto"/>
        <w:bottom w:val="none" w:sz="0" w:space="0" w:color="auto"/>
        <w:right w:val="none" w:sz="0" w:space="0" w:color="auto"/>
      </w:divBdr>
    </w:div>
    <w:div w:id="1695157562">
      <w:bodyDiv w:val="1"/>
      <w:marLeft w:val="0"/>
      <w:marRight w:val="0"/>
      <w:marTop w:val="0"/>
      <w:marBottom w:val="0"/>
      <w:divBdr>
        <w:top w:val="none" w:sz="0" w:space="0" w:color="auto"/>
        <w:left w:val="none" w:sz="0" w:space="0" w:color="auto"/>
        <w:bottom w:val="none" w:sz="0" w:space="0" w:color="auto"/>
        <w:right w:val="none" w:sz="0" w:space="0" w:color="auto"/>
      </w:divBdr>
    </w:div>
    <w:div w:id="1698198410">
      <w:bodyDiv w:val="1"/>
      <w:marLeft w:val="0"/>
      <w:marRight w:val="0"/>
      <w:marTop w:val="0"/>
      <w:marBottom w:val="0"/>
      <w:divBdr>
        <w:top w:val="none" w:sz="0" w:space="0" w:color="auto"/>
        <w:left w:val="none" w:sz="0" w:space="0" w:color="auto"/>
        <w:bottom w:val="none" w:sz="0" w:space="0" w:color="auto"/>
        <w:right w:val="none" w:sz="0" w:space="0" w:color="auto"/>
      </w:divBdr>
    </w:div>
    <w:div w:id="1794245959">
      <w:bodyDiv w:val="1"/>
      <w:marLeft w:val="0"/>
      <w:marRight w:val="0"/>
      <w:marTop w:val="0"/>
      <w:marBottom w:val="0"/>
      <w:divBdr>
        <w:top w:val="none" w:sz="0" w:space="0" w:color="auto"/>
        <w:left w:val="none" w:sz="0" w:space="0" w:color="auto"/>
        <w:bottom w:val="none" w:sz="0" w:space="0" w:color="auto"/>
        <w:right w:val="none" w:sz="0" w:space="0" w:color="auto"/>
      </w:divBdr>
      <w:divsChild>
        <w:div w:id="54013158">
          <w:marLeft w:val="0"/>
          <w:marRight w:val="0"/>
          <w:marTop w:val="280"/>
          <w:marBottom w:val="280"/>
          <w:divBdr>
            <w:top w:val="none" w:sz="0" w:space="0" w:color="auto"/>
            <w:left w:val="none" w:sz="0" w:space="0" w:color="auto"/>
            <w:bottom w:val="none" w:sz="0" w:space="0" w:color="auto"/>
            <w:right w:val="none" w:sz="0" w:space="0" w:color="auto"/>
          </w:divBdr>
        </w:div>
        <w:div w:id="240523945">
          <w:marLeft w:val="0"/>
          <w:marRight w:val="0"/>
          <w:marTop w:val="280"/>
          <w:marBottom w:val="280"/>
          <w:divBdr>
            <w:top w:val="none" w:sz="0" w:space="0" w:color="auto"/>
            <w:left w:val="none" w:sz="0" w:space="0" w:color="auto"/>
            <w:bottom w:val="none" w:sz="0" w:space="0" w:color="auto"/>
            <w:right w:val="none" w:sz="0" w:space="0" w:color="auto"/>
          </w:divBdr>
        </w:div>
        <w:div w:id="1704865406">
          <w:marLeft w:val="1134"/>
          <w:marRight w:val="0"/>
          <w:marTop w:val="280"/>
          <w:marBottom w:val="0"/>
          <w:divBdr>
            <w:top w:val="none" w:sz="0" w:space="0" w:color="auto"/>
            <w:left w:val="none" w:sz="0" w:space="0" w:color="auto"/>
            <w:bottom w:val="none" w:sz="0" w:space="0" w:color="auto"/>
            <w:right w:val="none" w:sz="0" w:space="0" w:color="auto"/>
          </w:divBdr>
        </w:div>
        <w:div w:id="536502324">
          <w:marLeft w:val="1134"/>
          <w:marRight w:val="0"/>
          <w:marTop w:val="280"/>
          <w:marBottom w:val="0"/>
          <w:divBdr>
            <w:top w:val="none" w:sz="0" w:space="0" w:color="auto"/>
            <w:left w:val="none" w:sz="0" w:space="0" w:color="auto"/>
            <w:bottom w:val="none" w:sz="0" w:space="0" w:color="auto"/>
            <w:right w:val="none" w:sz="0" w:space="0" w:color="auto"/>
          </w:divBdr>
        </w:div>
        <w:div w:id="1353873898">
          <w:marLeft w:val="1644"/>
          <w:marRight w:val="0"/>
          <w:marTop w:val="280"/>
          <w:marBottom w:val="0"/>
          <w:divBdr>
            <w:top w:val="none" w:sz="0" w:space="0" w:color="auto"/>
            <w:left w:val="none" w:sz="0" w:space="0" w:color="auto"/>
            <w:bottom w:val="none" w:sz="0" w:space="0" w:color="auto"/>
            <w:right w:val="none" w:sz="0" w:space="0" w:color="auto"/>
          </w:divBdr>
        </w:div>
        <w:div w:id="817914314">
          <w:marLeft w:val="0"/>
          <w:marRight w:val="0"/>
          <w:marTop w:val="280"/>
          <w:marBottom w:val="280"/>
          <w:divBdr>
            <w:top w:val="none" w:sz="0" w:space="0" w:color="auto"/>
            <w:left w:val="none" w:sz="0" w:space="0" w:color="auto"/>
            <w:bottom w:val="none" w:sz="0" w:space="0" w:color="auto"/>
            <w:right w:val="none" w:sz="0" w:space="0" w:color="auto"/>
          </w:divBdr>
        </w:div>
        <w:div w:id="671183120">
          <w:marLeft w:val="0"/>
          <w:marRight w:val="0"/>
          <w:marTop w:val="280"/>
          <w:marBottom w:val="280"/>
          <w:divBdr>
            <w:top w:val="none" w:sz="0" w:space="0" w:color="auto"/>
            <w:left w:val="none" w:sz="0" w:space="0" w:color="auto"/>
            <w:bottom w:val="none" w:sz="0" w:space="0" w:color="auto"/>
            <w:right w:val="none" w:sz="0" w:space="0" w:color="auto"/>
          </w:divBdr>
        </w:div>
        <w:div w:id="336035359">
          <w:marLeft w:val="0"/>
          <w:marRight w:val="0"/>
          <w:marTop w:val="280"/>
          <w:marBottom w:val="280"/>
          <w:divBdr>
            <w:top w:val="none" w:sz="0" w:space="0" w:color="auto"/>
            <w:left w:val="none" w:sz="0" w:space="0" w:color="auto"/>
            <w:bottom w:val="none" w:sz="0" w:space="0" w:color="auto"/>
            <w:right w:val="none" w:sz="0" w:space="0" w:color="auto"/>
          </w:divBdr>
        </w:div>
        <w:div w:id="610623409">
          <w:marLeft w:val="0"/>
          <w:marRight w:val="0"/>
          <w:marTop w:val="280"/>
          <w:marBottom w:val="280"/>
          <w:divBdr>
            <w:top w:val="none" w:sz="0" w:space="0" w:color="auto"/>
            <w:left w:val="none" w:sz="0" w:space="0" w:color="auto"/>
            <w:bottom w:val="none" w:sz="0" w:space="0" w:color="auto"/>
            <w:right w:val="none" w:sz="0" w:space="0" w:color="auto"/>
          </w:divBdr>
        </w:div>
        <w:div w:id="752046245">
          <w:marLeft w:val="0"/>
          <w:marRight w:val="0"/>
          <w:marTop w:val="280"/>
          <w:marBottom w:val="280"/>
          <w:divBdr>
            <w:top w:val="none" w:sz="0" w:space="0" w:color="auto"/>
            <w:left w:val="none" w:sz="0" w:space="0" w:color="auto"/>
            <w:bottom w:val="none" w:sz="0" w:space="0" w:color="auto"/>
            <w:right w:val="none" w:sz="0" w:space="0" w:color="auto"/>
          </w:divBdr>
        </w:div>
        <w:div w:id="1914316603">
          <w:marLeft w:val="0"/>
          <w:marRight w:val="0"/>
          <w:marTop w:val="280"/>
          <w:marBottom w:val="280"/>
          <w:divBdr>
            <w:top w:val="none" w:sz="0" w:space="0" w:color="auto"/>
            <w:left w:val="none" w:sz="0" w:space="0" w:color="auto"/>
            <w:bottom w:val="none" w:sz="0" w:space="0" w:color="auto"/>
            <w:right w:val="none" w:sz="0" w:space="0" w:color="auto"/>
          </w:divBdr>
        </w:div>
        <w:div w:id="375664278">
          <w:marLeft w:val="0"/>
          <w:marRight w:val="0"/>
          <w:marTop w:val="280"/>
          <w:marBottom w:val="280"/>
          <w:divBdr>
            <w:top w:val="none" w:sz="0" w:space="0" w:color="auto"/>
            <w:left w:val="none" w:sz="0" w:space="0" w:color="auto"/>
            <w:bottom w:val="none" w:sz="0" w:space="0" w:color="auto"/>
            <w:right w:val="none" w:sz="0" w:space="0" w:color="auto"/>
          </w:divBdr>
        </w:div>
        <w:div w:id="1194221889">
          <w:marLeft w:val="0"/>
          <w:marRight w:val="0"/>
          <w:marTop w:val="280"/>
          <w:marBottom w:val="280"/>
          <w:divBdr>
            <w:top w:val="none" w:sz="0" w:space="0" w:color="auto"/>
            <w:left w:val="none" w:sz="0" w:space="0" w:color="auto"/>
            <w:bottom w:val="none" w:sz="0" w:space="0" w:color="auto"/>
            <w:right w:val="none" w:sz="0" w:space="0" w:color="auto"/>
          </w:divBdr>
        </w:div>
        <w:div w:id="548541990">
          <w:marLeft w:val="0"/>
          <w:marRight w:val="0"/>
          <w:marTop w:val="280"/>
          <w:marBottom w:val="280"/>
          <w:divBdr>
            <w:top w:val="none" w:sz="0" w:space="0" w:color="auto"/>
            <w:left w:val="none" w:sz="0" w:space="0" w:color="auto"/>
            <w:bottom w:val="none" w:sz="0" w:space="0" w:color="auto"/>
            <w:right w:val="none" w:sz="0" w:space="0" w:color="auto"/>
          </w:divBdr>
        </w:div>
        <w:div w:id="1135489419">
          <w:marLeft w:val="0"/>
          <w:marRight w:val="0"/>
          <w:marTop w:val="280"/>
          <w:marBottom w:val="280"/>
          <w:divBdr>
            <w:top w:val="none" w:sz="0" w:space="0" w:color="auto"/>
            <w:left w:val="none" w:sz="0" w:space="0" w:color="auto"/>
            <w:bottom w:val="none" w:sz="0" w:space="0" w:color="auto"/>
            <w:right w:val="none" w:sz="0" w:space="0" w:color="auto"/>
          </w:divBdr>
        </w:div>
        <w:div w:id="709493835">
          <w:marLeft w:val="0"/>
          <w:marRight w:val="0"/>
          <w:marTop w:val="280"/>
          <w:marBottom w:val="280"/>
          <w:divBdr>
            <w:top w:val="none" w:sz="0" w:space="0" w:color="auto"/>
            <w:left w:val="none" w:sz="0" w:space="0" w:color="auto"/>
            <w:bottom w:val="none" w:sz="0" w:space="0" w:color="auto"/>
            <w:right w:val="none" w:sz="0" w:space="0" w:color="auto"/>
          </w:divBdr>
        </w:div>
        <w:div w:id="751664393">
          <w:marLeft w:val="0"/>
          <w:marRight w:val="0"/>
          <w:marTop w:val="280"/>
          <w:marBottom w:val="280"/>
          <w:divBdr>
            <w:top w:val="none" w:sz="0" w:space="0" w:color="auto"/>
            <w:left w:val="none" w:sz="0" w:space="0" w:color="auto"/>
            <w:bottom w:val="none" w:sz="0" w:space="0" w:color="auto"/>
            <w:right w:val="none" w:sz="0" w:space="0" w:color="auto"/>
          </w:divBdr>
        </w:div>
        <w:div w:id="1575552003">
          <w:marLeft w:val="0"/>
          <w:marRight w:val="0"/>
          <w:marTop w:val="280"/>
          <w:marBottom w:val="280"/>
          <w:divBdr>
            <w:top w:val="none" w:sz="0" w:space="0" w:color="auto"/>
            <w:left w:val="none" w:sz="0" w:space="0" w:color="auto"/>
            <w:bottom w:val="none" w:sz="0" w:space="0" w:color="auto"/>
            <w:right w:val="none" w:sz="0" w:space="0" w:color="auto"/>
          </w:divBdr>
        </w:div>
        <w:div w:id="1597205454">
          <w:marLeft w:val="0"/>
          <w:marRight w:val="0"/>
          <w:marTop w:val="280"/>
          <w:marBottom w:val="280"/>
          <w:divBdr>
            <w:top w:val="none" w:sz="0" w:space="0" w:color="auto"/>
            <w:left w:val="none" w:sz="0" w:space="0" w:color="auto"/>
            <w:bottom w:val="none" w:sz="0" w:space="0" w:color="auto"/>
            <w:right w:val="none" w:sz="0" w:space="0" w:color="auto"/>
          </w:divBdr>
        </w:div>
        <w:div w:id="1755783992">
          <w:marLeft w:val="0"/>
          <w:marRight w:val="0"/>
          <w:marTop w:val="280"/>
          <w:marBottom w:val="280"/>
          <w:divBdr>
            <w:top w:val="none" w:sz="0" w:space="0" w:color="auto"/>
            <w:left w:val="none" w:sz="0" w:space="0" w:color="auto"/>
            <w:bottom w:val="none" w:sz="0" w:space="0" w:color="auto"/>
            <w:right w:val="none" w:sz="0" w:space="0" w:color="auto"/>
          </w:divBdr>
        </w:div>
        <w:div w:id="451675534">
          <w:marLeft w:val="0"/>
          <w:marRight w:val="0"/>
          <w:marTop w:val="280"/>
          <w:marBottom w:val="280"/>
          <w:divBdr>
            <w:top w:val="none" w:sz="0" w:space="0" w:color="auto"/>
            <w:left w:val="none" w:sz="0" w:space="0" w:color="auto"/>
            <w:bottom w:val="none" w:sz="0" w:space="0" w:color="auto"/>
            <w:right w:val="none" w:sz="0" w:space="0" w:color="auto"/>
          </w:divBdr>
        </w:div>
        <w:div w:id="517888729">
          <w:marLeft w:val="0"/>
          <w:marRight w:val="0"/>
          <w:marTop w:val="280"/>
          <w:marBottom w:val="280"/>
          <w:divBdr>
            <w:top w:val="none" w:sz="0" w:space="0" w:color="auto"/>
            <w:left w:val="none" w:sz="0" w:space="0" w:color="auto"/>
            <w:bottom w:val="none" w:sz="0" w:space="0" w:color="auto"/>
            <w:right w:val="none" w:sz="0" w:space="0" w:color="auto"/>
          </w:divBdr>
        </w:div>
      </w:divsChild>
    </w:div>
    <w:div w:id="1797596945">
      <w:bodyDiv w:val="1"/>
      <w:marLeft w:val="0"/>
      <w:marRight w:val="0"/>
      <w:marTop w:val="0"/>
      <w:marBottom w:val="0"/>
      <w:divBdr>
        <w:top w:val="none" w:sz="0" w:space="0" w:color="auto"/>
        <w:left w:val="none" w:sz="0" w:space="0" w:color="auto"/>
        <w:bottom w:val="none" w:sz="0" w:space="0" w:color="auto"/>
        <w:right w:val="none" w:sz="0" w:space="0" w:color="auto"/>
      </w:divBdr>
    </w:div>
    <w:div w:id="1822965628">
      <w:bodyDiv w:val="1"/>
      <w:marLeft w:val="0"/>
      <w:marRight w:val="0"/>
      <w:marTop w:val="0"/>
      <w:marBottom w:val="0"/>
      <w:divBdr>
        <w:top w:val="none" w:sz="0" w:space="0" w:color="auto"/>
        <w:left w:val="none" w:sz="0" w:space="0" w:color="auto"/>
        <w:bottom w:val="none" w:sz="0" w:space="0" w:color="auto"/>
        <w:right w:val="none" w:sz="0" w:space="0" w:color="auto"/>
      </w:divBdr>
    </w:div>
    <w:div w:id="1825853870">
      <w:bodyDiv w:val="1"/>
      <w:marLeft w:val="0"/>
      <w:marRight w:val="0"/>
      <w:marTop w:val="0"/>
      <w:marBottom w:val="0"/>
      <w:divBdr>
        <w:top w:val="none" w:sz="0" w:space="0" w:color="auto"/>
        <w:left w:val="none" w:sz="0" w:space="0" w:color="auto"/>
        <w:bottom w:val="none" w:sz="0" w:space="0" w:color="auto"/>
        <w:right w:val="none" w:sz="0" w:space="0" w:color="auto"/>
      </w:divBdr>
    </w:div>
    <w:div w:id="1879849419">
      <w:bodyDiv w:val="1"/>
      <w:marLeft w:val="0"/>
      <w:marRight w:val="0"/>
      <w:marTop w:val="0"/>
      <w:marBottom w:val="0"/>
      <w:divBdr>
        <w:top w:val="none" w:sz="0" w:space="0" w:color="auto"/>
        <w:left w:val="none" w:sz="0" w:space="0" w:color="auto"/>
        <w:bottom w:val="none" w:sz="0" w:space="0" w:color="auto"/>
        <w:right w:val="none" w:sz="0" w:space="0" w:color="auto"/>
      </w:divBdr>
    </w:div>
    <w:div w:id="1899247362">
      <w:bodyDiv w:val="1"/>
      <w:marLeft w:val="0"/>
      <w:marRight w:val="0"/>
      <w:marTop w:val="0"/>
      <w:marBottom w:val="0"/>
      <w:divBdr>
        <w:top w:val="none" w:sz="0" w:space="0" w:color="auto"/>
        <w:left w:val="none" w:sz="0" w:space="0" w:color="auto"/>
        <w:bottom w:val="none" w:sz="0" w:space="0" w:color="auto"/>
        <w:right w:val="none" w:sz="0" w:space="0" w:color="auto"/>
      </w:divBdr>
    </w:div>
    <w:div w:id="1899851811">
      <w:bodyDiv w:val="1"/>
      <w:marLeft w:val="0"/>
      <w:marRight w:val="0"/>
      <w:marTop w:val="0"/>
      <w:marBottom w:val="0"/>
      <w:divBdr>
        <w:top w:val="none" w:sz="0" w:space="0" w:color="auto"/>
        <w:left w:val="none" w:sz="0" w:space="0" w:color="auto"/>
        <w:bottom w:val="none" w:sz="0" w:space="0" w:color="auto"/>
        <w:right w:val="none" w:sz="0" w:space="0" w:color="auto"/>
      </w:divBdr>
      <w:divsChild>
        <w:div w:id="507595734">
          <w:marLeft w:val="547"/>
          <w:marRight w:val="0"/>
          <w:marTop w:val="0"/>
          <w:marBottom w:val="0"/>
          <w:divBdr>
            <w:top w:val="none" w:sz="0" w:space="0" w:color="auto"/>
            <w:left w:val="none" w:sz="0" w:space="0" w:color="auto"/>
            <w:bottom w:val="none" w:sz="0" w:space="0" w:color="auto"/>
            <w:right w:val="none" w:sz="0" w:space="0" w:color="auto"/>
          </w:divBdr>
        </w:div>
      </w:divsChild>
    </w:div>
    <w:div w:id="1902055307">
      <w:bodyDiv w:val="1"/>
      <w:marLeft w:val="0"/>
      <w:marRight w:val="0"/>
      <w:marTop w:val="0"/>
      <w:marBottom w:val="0"/>
      <w:divBdr>
        <w:top w:val="none" w:sz="0" w:space="0" w:color="auto"/>
        <w:left w:val="none" w:sz="0" w:space="0" w:color="auto"/>
        <w:bottom w:val="none" w:sz="0" w:space="0" w:color="auto"/>
        <w:right w:val="none" w:sz="0" w:space="0" w:color="auto"/>
      </w:divBdr>
    </w:div>
    <w:div w:id="1909917310">
      <w:bodyDiv w:val="1"/>
      <w:marLeft w:val="0"/>
      <w:marRight w:val="0"/>
      <w:marTop w:val="0"/>
      <w:marBottom w:val="0"/>
      <w:divBdr>
        <w:top w:val="none" w:sz="0" w:space="0" w:color="auto"/>
        <w:left w:val="none" w:sz="0" w:space="0" w:color="auto"/>
        <w:bottom w:val="none" w:sz="0" w:space="0" w:color="auto"/>
        <w:right w:val="none" w:sz="0" w:space="0" w:color="auto"/>
      </w:divBdr>
    </w:div>
    <w:div w:id="1911385361">
      <w:bodyDiv w:val="1"/>
      <w:marLeft w:val="0"/>
      <w:marRight w:val="0"/>
      <w:marTop w:val="0"/>
      <w:marBottom w:val="0"/>
      <w:divBdr>
        <w:top w:val="none" w:sz="0" w:space="0" w:color="auto"/>
        <w:left w:val="none" w:sz="0" w:space="0" w:color="auto"/>
        <w:bottom w:val="none" w:sz="0" w:space="0" w:color="auto"/>
        <w:right w:val="none" w:sz="0" w:space="0" w:color="auto"/>
      </w:divBdr>
      <w:divsChild>
        <w:div w:id="1058432784">
          <w:marLeft w:val="0"/>
          <w:marRight w:val="0"/>
          <w:marTop w:val="0"/>
          <w:marBottom w:val="0"/>
          <w:divBdr>
            <w:top w:val="none" w:sz="0" w:space="0" w:color="auto"/>
            <w:left w:val="none" w:sz="0" w:space="0" w:color="auto"/>
            <w:bottom w:val="none" w:sz="0" w:space="0" w:color="auto"/>
            <w:right w:val="none" w:sz="0" w:space="0" w:color="auto"/>
          </w:divBdr>
        </w:div>
        <w:div w:id="2095856164">
          <w:marLeft w:val="0"/>
          <w:marRight w:val="0"/>
          <w:marTop w:val="0"/>
          <w:marBottom w:val="0"/>
          <w:divBdr>
            <w:top w:val="none" w:sz="0" w:space="0" w:color="auto"/>
            <w:left w:val="none" w:sz="0" w:space="0" w:color="auto"/>
            <w:bottom w:val="none" w:sz="0" w:space="0" w:color="auto"/>
            <w:right w:val="none" w:sz="0" w:space="0" w:color="auto"/>
          </w:divBdr>
        </w:div>
        <w:div w:id="571768547">
          <w:marLeft w:val="0"/>
          <w:marRight w:val="0"/>
          <w:marTop w:val="0"/>
          <w:marBottom w:val="0"/>
          <w:divBdr>
            <w:top w:val="none" w:sz="0" w:space="0" w:color="auto"/>
            <w:left w:val="none" w:sz="0" w:space="0" w:color="auto"/>
            <w:bottom w:val="none" w:sz="0" w:space="0" w:color="auto"/>
            <w:right w:val="none" w:sz="0" w:space="0" w:color="auto"/>
          </w:divBdr>
        </w:div>
        <w:div w:id="1798571447">
          <w:marLeft w:val="0"/>
          <w:marRight w:val="0"/>
          <w:marTop w:val="0"/>
          <w:marBottom w:val="0"/>
          <w:divBdr>
            <w:top w:val="none" w:sz="0" w:space="0" w:color="auto"/>
            <w:left w:val="none" w:sz="0" w:space="0" w:color="auto"/>
            <w:bottom w:val="none" w:sz="0" w:space="0" w:color="auto"/>
            <w:right w:val="none" w:sz="0" w:space="0" w:color="auto"/>
          </w:divBdr>
        </w:div>
        <w:div w:id="1259873083">
          <w:marLeft w:val="0"/>
          <w:marRight w:val="0"/>
          <w:marTop w:val="0"/>
          <w:marBottom w:val="0"/>
          <w:divBdr>
            <w:top w:val="none" w:sz="0" w:space="0" w:color="auto"/>
            <w:left w:val="none" w:sz="0" w:space="0" w:color="auto"/>
            <w:bottom w:val="none" w:sz="0" w:space="0" w:color="auto"/>
            <w:right w:val="none" w:sz="0" w:space="0" w:color="auto"/>
          </w:divBdr>
        </w:div>
        <w:div w:id="603612950">
          <w:marLeft w:val="0"/>
          <w:marRight w:val="0"/>
          <w:marTop w:val="0"/>
          <w:marBottom w:val="0"/>
          <w:divBdr>
            <w:top w:val="none" w:sz="0" w:space="0" w:color="auto"/>
            <w:left w:val="none" w:sz="0" w:space="0" w:color="auto"/>
            <w:bottom w:val="none" w:sz="0" w:space="0" w:color="auto"/>
            <w:right w:val="none" w:sz="0" w:space="0" w:color="auto"/>
          </w:divBdr>
        </w:div>
        <w:div w:id="1799104761">
          <w:marLeft w:val="0"/>
          <w:marRight w:val="0"/>
          <w:marTop w:val="0"/>
          <w:marBottom w:val="0"/>
          <w:divBdr>
            <w:top w:val="none" w:sz="0" w:space="0" w:color="auto"/>
            <w:left w:val="none" w:sz="0" w:space="0" w:color="auto"/>
            <w:bottom w:val="none" w:sz="0" w:space="0" w:color="auto"/>
            <w:right w:val="none" w:sz="0" w:space="0" w:color="auto"/>
          </w:divBdr>
        </w:div>
      </w:divsChild>
    </w:div>
    <w:div w:id="1934698871">
      <w:bodyDiv w:val="1"/>
      <w:marLeft w:val="0"/>
      <w:marRight w:val="0"/>
      <w:marTop w:val="0"/>
      <w:marBottom w:val="0"/>
      <w:divBdr>
        <w:top w:val="none" w:sz="0" w:space="0" w:color="auto"/>
        <w:left w:val="none" w:sz="0" w:space="0" w:color="auto"/>
        <w:bottom w:val="none" w:sz="0" w:space="0" w:color="auto"/>
        <w:right w:val="none" w:sz="0" w:space="0" w:color="auto"/>
      </w:divBdr>
    </w:div>
    <w:div w:id="1952590055">
      <w:bodyDiv w:val="1"/>
      <w:marLeft w:val="0"/>
      <w:marRight w:val="0"/>
      <w:marTop w:val="0"/>
      <w:marBottom w:val="0"/>
      <w:divBdr>
        <w:top w:val="none" w:sz="0" w:space="0" w:color="auto"/>
        <w:left w:val="none" w:sz="0" w:space="0" w:color="auto"/>
        <w:bottom w:val="none" w:sz="0" w:space="0" w:color="auto"/>
        <w:right w:val="none" w:sz="0" w:space="0" w:color="auto"/>
      </w:divBdr>
      <w:divsChild>
        <w:div w:id="670105748">
          <w:marLeft w:val="0"/>
          <w:marRight w:val="0"/>
          <w:marTop w:val="280"/>
          <w:marBottom w:val="280"/>
          <w:divBdr>
            <w:top w:val="none" w:sz="0" w:space="0" w:color="auto"/>
            <w:left w:val="none" w:sz="0" w:space="0" w:color="auto"/>
            <w:bottom w:val="none" w:sz="0" w:space="0" w:color="auto"/>
            <w:right w:val="none" w:sz="0" w:space="0" w:color="auto"/>
          </w:divBdr>
        </w:div>
        <w:div w:id="1046485003">
          <w:marLeft w:val="0"/>
          <w:marRight w:val="0"/>
          <w:marTop w:val="280"/>
          <w:marBottom w:val="280"/>
          <w:divBdr>
            <w:top w:val="none" w:sz="0" w:space="0" w:color="auto"/>
            <w:left w:val="none" w:sz="0" w:space="0" w:color="auto"/>
            <w:bottom w:val="none" w:sz="0" w:space="0" w:color="auto"/>
            <w:right w:val="none" w:sz="0" w:space="0" w:color="auto"/>
          </w:divBdr>
        </w:div>
        <w:div w:id="1575973700">
          <w:marLeft w:val="1134"/>
          <w:marRight w:val="0"/>
          <w:marTop w:val="280"/>
          <w:marBottom w:val="0"/>
          <w:divBdr>
            <w:top w:val="none" w:sz="0" w:space="0" w:color="auto"/>
            <w:left w:val="none" w:sz="0" w:space="0" w:color="auto"/>
            <w:bottom w:val="none" w:sz="0" w:space="0" w:color="auto"/>
            <w:right w:val="none" w:sz="0" w:space="0" w:color="auto"/>
          </w:divBdr>
        </w:div>
        <w:div w:id="677775995">
          <w:marLeft w:val="1134"/>
          <w:marRight w:val="0"/>
          <w:marTop w:val="280"/>
          <w:marBottom w:val="0"/>
          <w:divBdr>
            <w:top w:val="none" w:sz="0" w:space="0" w:color="auto"/>
            <w:left w:val="none" w:sz="0" w:space="0" w:color="auto"/>
            <w:bottom w:val="none" w:sz="0" w:space="0" w:color="auto"/>
            <w:right w:val="none" w:sz="0" w:space="0" w:color="auto"/>
          </w:divBdr>
        </w:div>
        <w:div w:id="657271277">
          <w:marLeft w:val="1644"/>
          <w:marRight w:val="0"/>
          <w:marTop w:val="280"/>
          <w:marBottom w:val="0"/>
          <w:divBdr>
            <w:top w:val="none" w:sz="0" w:space="0" w:color="auto"/>
            <w:left w:val="none" w:sz="0" w:space="0" w:color="auto"/>
            <w:bottom w:val="none" w:sz="0" w:space="0" w:color="auto"/>
            <w:right w:val="none" w:sz="0" w:space="0" w:color="auto"/>
          </w:divBdr>
        </w:div>
        <w:div w:id="253634827">
          <w:marLeft w:val="0"/>
          <w:marRight w:val="0"/>
          <w:marTop w:val="280"/>
          <w:marBottom w:val="280"/>
          <w:divBdr>
            <w:top w:val="none" w:sz="0" w:space="0" w:color="auto"/>
            <w:left w:val="none" w:sz="0" w:space="0" w:color="auto"/>
            <w:bottom w:val="none" w:sz="0" w:space="0" w:color="auto"/>
            <w:right w:val="none" w:sz="0" w:space="0" w:color="auto"/>
          </w:divBdr>
        </w:div>
        <w:div w:id="399600204">
          <w:marLeft w:val="0"/>
          <w:marRight w:val="0"/>
          <w:marTop w:val="280"/>
          <w:marBottom w:val="280"/>
          <w:divBdr>
            <w:top w:val="none" w:sz="0" w:space="0" w:color="auto"/>
            <w:left w:val="none" w:sz="0" w:space="0" w:color="auto"/>
            <w:bottom w:val="none" w:sz="0" w:space="0" w:color="auto"/>
            <w:right w:val="none" w:sz="0" w:space="0" w:color="auto"/>
          </w:divBdr>
        </w:div>
        <w:div w:id="329411578">
          <w:marLeft w:val="0"/>
          <w:marRight w:val="0"/>
          <w:marTop w:val="280"/>
          <w:marBottom w:val="280"/>
          <w:divBdr>
            <w:top w:val="none" w:sz="0" w:space="0" w:color="auto"/>
            <w:left w:val="none" w:sz="0" w:space="0" w:color="auto"/>
            <w:bottom w:val="none" w:sz="0" w:space="0" w:color="auto"/>
            <w:right w:val="none" w:sz="0" w:space="0" w:color="auto"/>
          </w:divBdr>
        </w:div>
        <w:div w:id="2054881508">
          <w:marLeft w:val="0"/>
          <w:marRight w:val="0"/>
          <w:marTop w:val="280"/>
          <w:marBottom w:val="280"/>
          <w:divBdr>
            <w:top w:val="none" w:sz="0" w:space="0" w:color="auto"/>
            <w:left w:val="none" w:sz="0" w:space="0" w:color="auto"/>
            <w:bottom w:val="none" w:sz="0" w:space="0" w:color="auto"/>
            <w:right w:val="none" w:sz="0" w:space="0" w:color="auto"/>
          </w:divBdr>
        </w:div>
        <w:div w:id="604962925">
          <w:marLeft w:val="0"/>
          <w:marRight w:val="0"/>
          <w:marTop w:val="280"/>
          <w:marBottom w:val="280"/>
          <w:divBdr>
            <w:top w:val="none" w:sz="0" w:space="0" w:color="auto"/>
            <w:left w:val="none" w:sz="0" w:space="0" w:color="auto"/>
            <w:bottom w:val="none" w:sz="0" w:space="0" w:color="auto"/>
            <w:right w:val="none" w:sz="0" w:space="0" w:color="auto"/>
          </w:divBdr>
        </w:div>
        <w:div w:id="1873031430">
          <w:marLeft w:val="0"/>
          <w:marRight w:val="0"/>
          <w:marTop w:val="280"/>
          <w:marBottom w:val="280"/>
          <w:divBdr>
            <w:top w:val="none" w:sz="0" w:space="0" w:color="auto"/>
            <w:left w:val="none" w:sz="0" w:space="0" w:color="auto"/>
            <w:bottom w:val="none" w:sz="0" w:space="0" w:color="auto"/>
            <w:right w:val="none" w:sz="0" w:space="0" w:color="auto"/>
          </w:divBdr>
        </w:div>
        <w:div w:id="1537547566">
          <w:marLeft w:val="0"/>
          <w:marRight w:val="0"/>
          <w:marTop w:val="280"/>
          <w:marBottom w:val="280"/>
          <w:divBdr>
            <w:top w:val="none" w:sz="0" w:space="0" w:color="auto"/>
            <w:left w:val="none" w:sz="0" w:space="0" w:color="auto"/>
            <w:bottom w:val="none" w:sz="0" w:space="0" w:color="auto"/>
            <w:right w:val="none" w:sz="0" w:space="0" w:color="auto"/>
          </w:divBdr>
        </w:div>
        <w:div w:id="128983400">
          <w:marLeft w:val="0"/>
          <w:marRight w:val="0"/>
          <w:marTop w:val="280"/>
          <w:marBottom w:val="280"/>
          <w:divBdr>
            <w:top w:val="none" w:sz="0" w:space="0" w:color="auto"/>
            <w:left w:val="none" w:sz="0" w:space="0" w:color="auto"/>
            <w:bottom w:val="none" w:sz="0" w:space="0" w:color="auto"/>
            <w:right w:val="none" w:sz="0" w:space="0" w:color="auto"/>
          </w:divBdr>
        </w:div>
        <w:div w:id="626083551">
          <w:marLeft w:val="0"/>
          <w:marRight w:val="0"/>
          <w:marTop w:val="280"/>
          <w:marBottom w:val="280"/>
          <w:divBdr>
            <w:top w:val="none" w:sz="0" w:space="0" w:color="auto"/>
            <w:left w:val="none" w:sz="0" w:space="0" w:color="auto"/>
            <w:bottom w:val="none" w:sz="0" w:space="0" w:color="auto"/>
            <w:right w:val="none" w:sz="0" w:space="0" w:color="auto"/>
          </w:divBdr>
        </w:div>
        <w:div w:id="1773473413">
          <w:marLeft w:val="0"/>
          <w:marRight w:val="0"/>
          <w:marTop w:val="280"/>
          <w:marBottom w:val="280"/>
          <w:divBdr>
            <w:top w:val="none" w:sz="0" w:space="0" w:color="auto"/>
            <w:left w:val="none" w:sz="0" w:space="0" w:color="auto"/>
            <w:bottom w:val="none" w:sz="0" w:space="0" w:color="auto"/>
            <w:right w:val="none" w:sz="0" w:space="0" w:color="auto"/>
          </w:divBdr>
        </w:div>
        <w:div w:id="123888786">
          <w:marLeft w:val="0"/>
          <w:marRight w:val="0"/>
          <w:marTop w:val="280"/>
          <w:marBottom w:val="280"/>
          <w:divBdr>
            <w:top w:val="none" w:sz="0" w:space="0" w:color="auto"/>
            <w:left w:val="none" w:sz="0" w:space="0" w:color="auto"/>
            <w:bottom w:val="none" w:sz="0" w:space="0" w:color="auto"/>
            <w:right w:val="none" w:sz="0" w:space="0" w:color="auto"/>
          </w:divBdr>
        </w:div>
        <w:div w:id="1699433166">
          <w:marLeft w:val="0"/>
          <w:marRight w:val="0"/>
          <w:marTop w:val="280"/>
          <w:marBottom w:val="280"/>
          <w:divBdr>
            <w:top w:val="none" w:sz="0" w:space="0" w:color="auto"/>
            <w:left w:val="none" w:sz="0" w:space="0" w:color="auto"/>
            <w:bottom w:val="none" w:sz="0" w:space="0" w:color="auto"/>
            <w:right w:val="none" w:sz="0" w:space="0" w:color="auto"/>
          </w:divBdr>
        </w:div>
        <w:div w:id="1356887953">
          <w:marLeft w:val="0"/>
          <w:marRight w:val="0"/>
          <w:marTop w:val="280"/>
          <w:marBottom w:val="280"/>
          <w:divBdr>
            <w:top w:val="none" w:sz="0" w:space="0" w:color="auto"/>
            <w:left w:val="none" w:sz="0" w:space="0" w:color="auto"/>
            <w:bottom w:val="none" w:sz="0" w:space="0" w:color="auto"/>
            <w:right w:val="none" w:sz="0" w:space="0" w:color="auto"/>
          </w:divBdr>
        </w:div>
        <w:div w:id="301741634">
          <w:marLeft w:val="0"/>
          <w:marRight w:val="0"/>
          <w:marTop w:val="280"/>
          <w:marBottom w:val="280"/>
          <w:divBdr>
            <w:top w:val="none" w:sz="0" w:space="0" w:color="auto"/>
            <w:left w:val="none" w:sz="0" w:space="0" w:color="auto"/>
            <w:bottom w:val="none" w:sz="0" w:space="0" w:color="auto"/>
            <w:right w:val="none" w:sz="0" w:space="0" w:color="auto"/>
          </w:divBdr>
        </w:div>
        <w:div w:id="598560994">
          <w:marLeft w:val="0"/>
          <w:marRight w:val="0"/>
          <w:marTop w:val="280"/>
          <w:marBottom w:val="280"/>
          <w:divBdr>
            <w:top w:val="none" w:sz="0" w:space="0" w:color="auto"/>
            <w:left w:val="none" w:sz="0" w:space="0" w:color="auto"/>
            <w:bottom w:val="none" w:sz="0" w:space="0" w:color="auto"/>
            <w:right w:val="none" w:sz="0" w:space="0" w:color="auto"/>
          </w:divBdr>
        </w:div>
        <w:div w:id="497619608">
          <w:marLeft w:val="0"/>
          <w:marRight w:val="0"/>
          <w:marTop w:val="280"/>
          <w:marBottom w:val="280"/>
          <w:divBdr>
            <w:top w:val="none" w:sz="0" w:space="0" w:color="auto"/>
            <w:left w:val="none" w:sz="0" w:space="0" w:color="auto"/>
            <w:bottom w:val="none" w:sz="0" w:space="0" w:color="auto"/>
            <w:right w:val="none" w:sz="0" w:space="0" w:color="auto"/>
          </w:divBdr>
        </w:div>
        <w:div w:id="1842812749">
          <w:marLeft w:val="0"/>
          <w:marRight w:val="0"/>
          <w:marTop w:val="280"/>
          <w:marBottom w:val="280"/>
          <w:divBdr>
            <w:top w:val="none" w:sz="0" w:space="0" w:color="auto"/>
            <w:left w:val="none" w:sz="0" w:space="0" w:color="auto"/>
            <w:bottom w:val="none" w:sz="0" w:space="0" w:color="auto"/>
            <w:right w:val="none" w:sz="0" w:space="0" w:color="auto"/>
          </w:divBdr>
        </w:div>
      </w:divsChild>
    </w:div>
    <w:div w:id="1953586863">
      <w:bodyDiv w:val="1"/>
      <w:marLeft w:val="0"/>
      <w:marRight w:val="0"/>
      <w:marTop w:val="0"/>
      <w:marBottom w:val="0"/>
      <w:divBdr>
        <w:top w:val="none" w:sz="0" w:space="0" w:color="auto"/>
        <w:left w:val="none" w:sz="0" w:space="0" w:color="auto"/>
        <w:bottom w:val="none" w:sz="0" w:space="0" w:color="auto"/>
        <w:right w:val="none" w:sz="0" w:space="0" w:color="auto"/>
      </w:divBdr>
    </w:div>
    <w:div w:id="1988703798">
      <w:bodyDiv w:val="1"/>
      <w:marLeft w:val="0"/>
      <w:marRight w:val="0"/>
      <w:marTop w:val="0"/>
      <w:marBottom w:val="0"/>
      <w:divBdr>
        <w:top w:val="none" w:sz="0" w:space="0" w:color="auto"/>
        <w:left w:val="none" w:sz="0" w:space="0" w:color="auto"/>
        <w:bottom w:val="none" w:sz="0" w:space="0" w:color="auto"/>
        <w:right w:val="none" w:sz="0" w:space="0" w:color="auto"/>
      </w:divBdr>
    </w:div>
    <w:div w:id="2027058040">
      <w:bodyDiv w:val="1"/>
      <w:marLeft w:val="0"/>
      <w:marRight w:val="0"/>
      <w:marTop w:val="0"/>
      <w:marBottom w:val="0"/>
      <w:divBdr>
        <w:top w:val="none" w:sz="0" w:space="0" w:color="auto"/>
        <w:left w:val="none" w:sz="0" w:space="0" w:color="auto"/>
        <w:bottom w:val="none" w:sz="0" w:space="0" w:color="auto"/>
        <w:right w:val="none" w:sz="0" w:space="0" w:color="auto"/>
      </w:divBdr>
    </w:div>
    <w:div w:id="2027101217">
      <w:bodyDiv w:val="1"/>
      <w:marLeft w:val="0"/>
      <w:marRight w:val="0"/>
      <w:marTop w:val="0"/>
      <w:marBottom w:val="0"/>
      <w:divBdr>
        <w:top w:val="none" w:sz="0" w:space="0" w:color="auto"/>
        <w:left w:val="none" w:sz="0" w:space="0" w:color="auto"/>
        <w:bottom w:val="none" w:sz="0" w:space="0" w:color="auto"/>
        <w:right w:val="none" w:sz="0" w:space="0" w:color="auto"/>
      </w:divBdr>
    </w:div>
    <w:div w:id="2068145578">
      <w:bodyDiv w:val="1"/>
      <w:marLeft w:val="0"/>
      <w:marRight w:val="0"/>
      <w:marTop w:val="0"/>
      <w:marBottom w:val="0"/>
      <w:divBdr>
        <w:top w:val="none" w:sz="0" w:space="0" w:color="auto"/>
        <w:left w:val="none" w:sz="0" w:space="0" w:color="auto"/>
        <w:bottom w:val="none" w:sz="0" w:space="0" w:color="auto"/>
        <w:right w:val="none" w:sz="0" w:space="0" w:color="auto"/>
      </w:divBdr>
    </w:div>
    <w:div w:id="2083024276">
      <w:bodyDiv w:val="1"/>
      <w:marLeft w:val="0"/>
      <w:marRight w:val="0"/>
      <w:marTop w:val="0"/>
      <w:marBottom w:val="0"/>
      <w:divBdr>
        <w:top w:val="none" w:sz="0" w:space="0" w:color="auto"/>
        <w:left w:val="none" w:sz="0" w:space="0" w:color="auto"/>
        <w:bottom w:val="none" w:sz="0" w:space="0" w:color="auto"/>
        <w:right w:val="none" w:sz="0" w:space="0" w:color="auto"/>
      </w:divBdr>
    </w:div>
    <w:div w:id="2109882355">
      <w:bodyDiv w:val="1"/>
      <w:marLeft w:val="0"/>
      <w:marRight w:val="0"/>
      <w:marTop w:val="0"/>
      <w:marBottom w:val="0"/>
      <w:divBdr>
        <w:top w:val="none" w:sz="0" w:space="0" w:color="auto"/>
        <w:left w:val="none" w:sz="0" w:space="0" w:color="auto"/>
        <w:bottom w:val="none" w:sz="0" w:space="0" w:color="auto"/>
        <w:right w:val="none" w:sz="0" w:space="0" w:color="auto"/>
      </w:divBdr>
    </w:div>
    <w:div w:id="2110734497">
      <w:bodyDiv w:val="1"/>
      <w:marLeft w:val="0"/>
      <w:marRight w:val="0"/>
      <w:marTop w:val="0"/>
      <w:marBottom w:val="0"/>
      <w:divBdr>
        <w:top w:val="none" w:sz="0" w:space="0" w:color="auto"/>
        <w:left w:val="none" w:sz="0" w:space="0" w:color="auto"/>
        <w:bottom w:val="none" w:sz="0" w:space="0" w:color="auto"/>
        <w:right w:val="none" w:sz="0" w:space="0" w:color="auto"/>
      </w:divBdr>
    </w:div>
    <w:div w:id="2113933819">
      <w:bodyDiv w:val="1"/>
      <w:marLeft w:val="0"/>
      <w:marRight w:val="0"/>
      <w:marTop w:val="0"/>
      <w:marBottom w:val="0"/>
      <w:divBdr>
        <w:top w:val="none" w:sz="0" w:space="0" w:color="auto"/>
        <w:left w:val="none" w:sz="0" w:space="0" w:color="auto"/>
        <w:bottom w:val="none" w:sz="0" w:space="0" w:color="auto"/>
        <w:right w:val="none" w:sz="0" w:space="0" w:color="auto"/>
      </w:divBdr>
    </w:div>
    <w:div w:id="21342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nce.gov.au/sites/all/themes/pgpa_independent_review/report/PGPA_Act_and_Rule_-_Draft_Report.pdf" TargetMode="External"/><Relationship Id="rId18" Type="http://schemas.openxmlformats.org/officeDocument/2006/relationships/hyperlink" Target="https://www.aph.gov.au/Parliamentary_Business/Committees/Senate/Significant_Reports/socialwelfarectte/welfareservices/index" TargetMode="External"/><Relationship Id="rId26" Type="http://schemas.openxmlformats.org/officeDocument/2006/relationships/hyperlink" Target="https://www.themandarin.com.au/64566-nicholas-gruen-evaluator-general-part-two/" TargetMode="External"/><Relationship Id="rId3" Type="http://schemas.openxmlformats.org/officeDocument/2006/relationships/styles" Target="styles.xml"/><Relationship Id="rId21" Type="http://schemas.openxmlformats.org/officeDocument/2006/relationships/hyperlink" Target="https://www.legislation.gov.au/Details/C2013A00123"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dss.gov.au/publications-articles/corporate-publications/annual-reports/dss-annual-report-2016-17" TargetMode="External"/><Relationship Id="rId17" Type="http://schemas.openxmlformats.org/officeDocument/2006/relationships/hyperlink" Target="https://www.aes.asn.au/images/stories/files/membership/AES_Guidelines_web_v2.pdf" TargetMode="External"/><Relationship Id="rId25" Type="http://schemas.openxmlformats.org/officeDocument/2006/relationships/hyperlink" Target="https://www.finance.gov.au/sites/all/themes/pgpa_independent_review/draft-submissions/DOIIS.pdf"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aes.asn.au/images/stories/files/Professional%20Learning/AES_Evaluators_Competency_Framework.pdf" TargetMode="External"/><Relationship Id="rId20" Type="http://schemas.openxmlformats.org/officeDocument/2006/relationships/hyperlink" Target="http://pandora.nla.gov.au/pan/128244/20110727-1626/www.bertaskforce.gov.au/documents/publications/BERIT_final_report.pdf" TargetMode="External"/><Relationship Id="rId29" Type="http://schemas.openxmlformats.org/officeDocument/2006/relationships/hyperlink" Target="http://www.aes.asn.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ndustry.gov.au/sites/g/files/net3906/f/May%202018/document/pdf/department_of_industry_innovation_and_science_evaluation_strategy_2017-202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es.asn.au/images/stories/files/membership/AES_Code_of_Ethics_web.pdf" TargetMode="External"/><Relationship Id="rId23" Type="http://schemas.openxmlformats.org/officeDocument/2006/relationships/hyperlink" Target="http://www.pc.gov.au/research/ongoing/overcoming-indigenous-disadvantage/2016/report-documents/oid-2016-overcoming-indigenous-disadvantage-key-indicators-2016-report.pdf" TargetMode="External"/><Relationship Id="rId28" Type="http://schemas.openxmlformats.org/officeDocument/2006/relationships/hyperlink" Target="https://www.finance.gov.au/presentations/" TargetMode="External"/><Relationship Id="rId10" Type="http://schemas.openxmlformats.org/officeDocument/2006/relationships/hyperlink" Target="mailto:bill.wallace@aes.asn.au" TargetMode="External"/><Relationship Id="rId19" Type="http://schemas.openxmlformats.org/officeDocument/2006/relationships/hyperlink" Target="http://apo.org.au/system/files/20863/apo-nid20863-2440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c.gov.au/news-media/speeches/cs20090204/20090204-evidence-based-policy.pdf" TargetMode="External"/><Relationship Id="rId22" Type="http://schemas.openxmlformats.org/officeDocument/2006/relationships/hyperlink" Target="https://www.ncoa.gov.au/report/phase-two/executive-summary" TargetMode="External"/><Relationship Id="rId27" Type="http://schemas.openxmlformats.org/officeDocument/2006/relationships/hyperlink" Target="https://www.finance.gov.au/sites/all/themes/pgpa_independent_review/draft-submissions/professor-andrew-podger.pdf" TargetMode="External"/><Relationship Id="rId30" Type="http://schemas.openxmlformats.org/officeDocument/2006/relationships/hyperlink" Target="https://cecan.ac.uk" TargetMode="External"/><Relationship Id="rId35" Type="http://schemas.openxmlformats.org/officeDocument/2006/relationships/customXml" Target="../customXml/item4.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finance.gov.au/sites/all/themes/pgpa_independent_review/report/PGPA_Act_and_Rule_-_Draft_Report.pdf" TargetMode="External"/><Relationship Id="rId13" Type="http://schemas.openxmlformats.org/officeDocument/2006/relationships/hyperlink" Target="https://www.finance.gov.au/sites/all/themes/pgpa_independent_review/draft-submissions/professor-andrew-podger.pdf" TargetMode="External"/><Relationship Id="rId3" Type="http://schemas.openxmlformats.org/officeDocument/2006/relationships/hyperlink" Target="https://www.aes.asn.au/images/stories/files/Professional%20Learning/AES_Evaluators_Competency_Framework.pdf" TargetMode="External"/><Relationship Id="rId7" Type="http://schemas.openxmlformats.org/officeDocument/2006/relationships/hyperlink" Target="https://www.finance.gov.au/presentations/" TargetMode="External"/><Relationship Id="rId12" Type="http://schemas.openxmlformats.org/officeDocument/2006/relationships/hyperlink" Target="http://pandora.nla.gov.au/pan/128244/20110727-1626/www.bertaskforce.gov.au/documents/publications/BERIT_final_report.pdf" TargetMode="External"/><Relationship Id="rId2" Type="http://schemas.openxmlformats.org/officeDocument/2006/relationships/hyperlink" Target="https://www.aph.gov.au/Parliamentary_Business/Committees/Senate/Significant_Reports/socialwelfarectte/welfareservices/index" TargetMode="External"/><Relationship Id="rId1" Type="http://schemas.openxmlformats.org/officeDocument/2006/relationships/hyperlink" Target="http://apo.org.au/system/files/20863/apo-nid20863-24401.pdf" TargetMode="External"/><Relationship Id="rId6" Type="http://schemas.openxmlformats.org/officeDocument/2006/relationships/hyperlink" Target="https://www.finance.gov.au/sites/all/themes/pgpa_independent_review/report/PGPA_Act_and_Rule_-_Draft_Report.pdf" TargetMode="External"/><Relationship Id="rId11" Type="http://schemas.openxmlformats.org/officeDocument/2006/relationships/hyperlink" Target="https://www.finance.gov.au/presentations/" TargetMode="External"/><Relationship Id="rId5" Type="http://schemas.openxmlformats.org/officeDocument/2006/relationships/hyperlink" Target="http://www.pc.gov.au/research/ongoing/overcoming-indigenous-disadvantage/2016/report-documents/oid-2016-overcoming-indigenous-disadvantage-key-indicators-2016-report.pdf" TargetMode="External"/><Relationship Id="rId15" Type="http://schemas.openxmlformats.org/officeDocument/2006/relationships/hyperlink" Target="https://www.finance.gov.au/sites/all/themes/pgpa_independent_review/draft-submissions/DOIIS.pdf" TargetMode="External"/><Relationship Id="rId10" Type="http://schemas.openxmlformats.org/officeDocument/2006/relationships/hyperlink" Target="http://www.pc.gov.au/news-media/speeches/cs20090204/20090204-evidence-based-policy.pdf" TargetMode="External"/><Relationship Id="rId4" Type="http://schemas.openxmlformats.org/officeDocument/2006/relationships/hyperlink" Target="https://www.ncoa.gov.au/report/phase-two/executive-summary" TargetMode="External"/><Relationship Id="rId9" Type="http://schemas.openxmlformats.org/officeDocument/2006/relationships/hyperlink" Target="http://www.apsc.gov.au/about-the-apsc/parliamentary/state-of-the-service/sosr-2012-13/chapter-ten/capability-reviews-status-and-findings" TargetMode="External"/><Relationship Id="rId14" Type="http://schemas.openxmlformats.org/officeDocument/2006/relationships/hyperlink" Target="https://www.industry.gov.au/data-and-publications/department-of-industry-innovation-and-science-evalua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DOC19-444957</ShareHubID>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31E4471E-7BF3-A043-9863-4B2F325D1F8C}">
  <ds:schemaRefs>
    <ds:schemaRef ds:uri="http://schemas.openxmlformats.org/officeDocument/2006/bibliography"/>
  </ds:schemaRefs>
</ds:datastoreItem>
</file>

<file path=customXml/itemProps2.xml><?xml version="1.0" encoding="utf-8"?>
<ds:datastoreItem xmlns:ds="http://schemas.openxmlformats.org/officeDocument/2006/customXml" ds:itemID="{0B4248ED-1ACB-400C-8B90-C6057E2140A7}"/>
</file>

<file path=customXml/itemProps3.xml><?xml version="1.0" encoding="utf-8"?>
<ds:datastoreItem xmlns:ds="http://schemas.openxmlformats.org/officeDocument/2006/customXml" ds:itemID="{E90F2FA6-BF52-496B-8F63-5C2AB87121A5}"/>
</file>

<file path=customXml/itemProps4.xml><?xml version="1.0" encoding="utf-8"?>
<ds:datastoreItem xmlns:ds="http://schemas.openxmlformats.org/officeDocument/2006/customXml" ds:itemID="{3B04A75C-EDF6-44B9-B287-8CD57CD263D7}"/>
</file>

<file path=docProps/app.xml><?xml version="1.0" encoding="utf-8"?>
<Properties xmlns="http://schemas.openxmlformats.org/officeDocument/2006/extended-properties" xmlns:vt="http://schemas.openxmlformats.org/officeDocument/2006/docPropsVTypes">
  <Template>Normal.dotm</Template>
  <TotalTime>1</TotalTime>
  <Pages>16</Pages>
  <Words>5245</Words>
  <Characters>32784</Characters>
  <Application>Microsoft Office Word</Application>
  <DocSecurity>0</DocSecurity>
  <Lines>537</Lines>
  <Paragraphs>191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2017-11-15T22:51:00Z</cp:lastPrinted>
  <dcterms:created xsi:type="dcterms:W3CDTF">2018-07-31T00:19:00Z</dcterms:created>
  <dcterms:modified xsi:type="dcterms:W3CDTF">2018-07-31T03:05:00Z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vt:lpwstr>
  </property>
  <property fmtid="{D5CDD505-2E9C-101B-9397-08002B2CF9AE}" pid="3" name="PMC.ESearch.TagGeneratedTime">
    <vt:lpwstr>2019-12-09T15:37:54</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