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charts/style2.xml" ContentType="application/vnd.ms-office.chartstyle+xml"/>
  <Override PartName="/word/charts/chart2.xml" ContentType="application/vnd.openxmlformats-officedocument.drawingml.chart+xml"/>
  <Override PartName="/word/charts/colors2.xml" ContentType="application/vnd.ms-office.chartcolorstyle+xml"/>
  <Override PartName="/word/charts/colors1.xml" ContentType="application/vnd.ms-office.chartcolorstyle+xml"/>
  <Override PartName="/word/charts/style1.xml" ContentType="application/vnd.ms-office.chartstyle+xml"/>
  <Override PartName="/word/theme/theme1.xml" ContentType="application/vnd.openxmlformats-officedocument.theme+xml"/>
  <Override PartName="/word/charts/chart1.xml" ContentType="application/vnd.openxmlformats-officedocument.drawingml.chart+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2B9260" w14:textId="77777777" w:rsidR="00CD1F40" w:rsidRDefault="00CD1F40" w:rsidP="00BD7F7B">
      <w:pPr>
        <w:rPr>
          <w:b/>
          <w:bCs/>
          <w:sz w:val="28"/>
          <w:szCs w:val="28"/>
        </w:rPr>
      </w:pPr>
    </w:p>
    <w:p w14:paraId="2BCC1705" w14:textId="77777777" w:rsidR="00CD1F40" w:rsidRDefault="00CD1F40" w:rsidP="00BD7F7B">
      <w:pPr>
        <w:rPr>
          <w:b/>
          <w:bCs/>
          <w:sz w:val="28"/>
          <w:szCs w:val="28"/>
        </w:rPr>
      </w:pPr>
    </w:p>
    <w:p w14:paraId="7E9C8CD6" w14:textId="411D9241" w:rsidR="00DC29F0" w:rsidRPr="00DC0592" w:rsidRDefault="004A1731" w:rsidP="00BD7F7B">
      <w:pPr>
        <w:rPr>
          <w:b/>
          <w:bCs/>
          <w:sz w:val="28"/>
          <w:szCs w:val="28"/>
        </w:rPr>
      </w:pPr>
      <w:r>
        <w:rPr>
          <w:b/>
          <w:bCs/>
          <w:sz w:val="28"/>
          <w:szCs w:val="28"/>
        </w:rPr>
        <w:t>Su</w:t>
      </w:r>
      <w:r w:rsidR="0013109D">
        <w:rPr>
          <w:b/>
          <w:bCs/>
          <w:sz w:val="28"/>
          <w:szCs w:val="28"/>
        </w:rPr>
        <w:t>bmission to the APS R</w:t>
      </w:r>
      <w:r w:rsidR="00DC29F0" w:rsidRPr="00DC0592">
        <w:rPr>
          <w:b/>
          <w:bCs/>
          <w:sz w:val="28"/>
          <w:szCs w:val="28"/>
        </w:rPr>
        <w:t>eview</w:t>
      </w:r>
      <w:r w:rsidR="002F1FA7" w:rsidRPr="00DC0592">
        <w:rPr>
          <w:b/>
          <w:bCs/>
          <w:sz w:val="28"/>
          <w:szCs w:val="28"/>
        </w:rPr>
        <w:t xml:space="preserve"> – Independent scientific and technical advice and government support for science and research</w:t>
      </w:r>
    </w:p>
    <w:p w14:paraId="1D7E5617" w14:textId="37BB5574" w:rsidR="00DC29F0" w:rsidRDefault="00DC29F0" w:rsidP="00BD7F7B">
      <w:pPr>
        <w:rPr>
          <w:sz w:val="22"/>
          <w:szCs w:val="22"/>
        </w:rPr>
      </w:pPr>
    </w:p>
    <w:p w14:paraId="66BACAC9" w14:textId="089C3358" w:rsidR="00421D01" w:rsidRDefault="00583050" w:rsidP="00B87A8F">
      <w:pPr>
        <w:rPr>
          <w:sz w:val="22"/>
          <w:szCs w:val="22"/>
        </w:rPr>
      </w:pPr>
      <w:r>
        <w:rPr>
          <w:sz w:val="22"/>
          <w:szCs w:val="22"/>
        </w:rPr>
        <w:t>Dr Gwilym Croucher</w:t>
      </w:r>
      <w:r w:rsidR="00B87A8F">
        <w:rPr>
          <w:sz w:val="22"/>
          <w:szCs w:val="22"/>
        </w:rPr>
        <w:t xml:space="preserve">, </w:t>
      </w:r>
      <w:r w:rsidR="00A422CA">
        <w:rPr>
          <w:sz w:val="22"/>
          <w:szCs w:val="22"/>
        </w:rPr>
        <w:t>University of Melbourne</w:t>
      </w:r>
    </w:p>
    <w:p w14:paraId="3AF7C3C8" w14:textId="77777777" w:rsidR="00421D01" w:rsidRDefault="00421D01" w:rsidP="00583050">
      <w:pPr>
        <w:rPr>
          <w:sz w:val="22"/>
          <w:szCs w:val="22"/>
        </w:rPr>
      </w:pPr>
    </w:p>
    <w:p w14:paraId="343ACDB9" w14:textId="64B62DD6" w:rsidR="00421D01" w:rsidRDefault="00421D01" w:rsidP="00583050">
      <w:pPr>
        <w:rPr>
          <w:sz w:val="22"/>
          <w:szCs w:val="22"/>
        </w:rPr>
      </w:pPr>
      <w:r>
        <w:rPr>
          <w:sz w:val="22"/>
          <w:szCs w:val="22"/>
        </w:rPr>
        <w:t>In consultation with</w:t>
      </w:r>
      <w:r w:rsidR="001B2098">
        <w:rPr>
          <w:sz w:val="22"/>
          <w:szCs w:val="22"/>
        </w:rPr>
        <w:t>:</w:t>
      </w:r>
      <w:r>
        <w:rPr>
          <w:sz w:val="22"/>
          <w:szCs w:val="22"/>
        </w:rPr>
        <w:t xml:space="preserve"> </w:t>
      </w:r>
    </w:p>
    <w:p w14:paraId="44208C90" w14:textId="6B6A77DB" w:rsidR="00B87A8F" w:rsidRDefault="00B87A8F" w:rsidP="00B87A8F">
      <w:pPr>
        <w:rPr>
          <w:sz w:val="22"/>
          <w:szCs w:val="22"/>
        </w:rPr>
      </w:pPr>
      <w:r>
        <w:rPr>
          <w:sz w:val="22"/>
          <w:szCs w:val="22"/>
        </w:rPr>
        <w:t>Professor Rob Evans, University of Melbourne</w:t>
      </w:r>
    </w:p>
    <w:p w14:paraId="201024F8" w14:textId="6E84F1EF" w:rsidR="00B87A8F" w:rsidRDefault="00B87A8F" w:rsidP="00B87A8F">
      <w:pPr>
        <w:rPr>
          <w:sz w:val="22"/>
          <w:szCs w:val="22"/>
        </w:rPr>
      </w:pPr>
      <w:r>
        <w:rPr>
          <w:sz w:val="22"/>
          <w:szCs w:val="22"/>
        </w:rPr>
        <w:t>Enterprise Professor Gary Liddle, University of Melbourne</w:t>
      </w:r>
    </w:p>
    <w:p w14:paraId="26671024" w14:textId="7D4254E2" w:rsidR="00B87A8F" w:rsidRDefault="00B87A8F" w:rsidP="00B87A8F">
      <w:pPr>
        <w:rPr>
          <w:sz w:val="22"/>
          <w:szCs w:val="22"/>
        </w:rPr>
      </w:pPr>
      <w:r>
        <w:rPr>
          <w:sz w:val="22"/>
          <w:szCs w:val="22"/>
        </w:rPr>
        <w:t xml:space="preserve">Enterprise Professor Rob </w:t>
      </w:r>
      <w:proofErr w:type="spellStart"/>
      <w:r>
        <w:rPr>
          <w:sz w:val="22"/>
          <w:szCs w:val="22"/>
        </w:rPr>
        <w:t>Vertessy</w:t>
      </w:r>
      <w:proofErr w:type="spellEnd"/>
      <w:r>
        <w:rPr>
          <w:sz w:val="22"/>
          <w:szCs w:val="22"/>
        </w:rPr>
        <w:t>, University of Melbourne</w:t>
      </w:r>
    </w:p>
    <w:p w14:paraId="2E9C944D" w14:textId="37DFD62E" w:rsidR="00B87A8F" w:rsidRPr="009578F3" w:rsidRDefault="00B87A8F" w:rsidP="00B87A8F">
      <w:pPr>
        <w:rPr>
          <w:sz w:val="22"/>
          <w:szCs w:val="22"/>
        </w:rPr>
      </w:pPr>
      <w:r>
        <w:rPr>
          <w:sz w:val="22"/>
          <w:szCs w:val="22"/>
        </w:rPr>
        <w:t xml:space="preserve"> </w:t>
      </w:r>
    </w:p>
    <w:p w14:paraId="0763BB00" w14:textId="469EB400" w:rsidR="009A105D" w:rsidRDefault="00335AA7" w:rsidP="009A105D">
      <w:pPr>
        <w:rPr>
          <w:sz w:val="22"/>
          <w:szCs w:val="22"/>
        </w:rPr>
      </w:pPr>
      <w:r w:rsidRPr="009578F3">
        <w:rPr>
          <w:sz w:val="22"/>
          <w:szCs w:val="22"/>
        </w:rPr>
        <w:t xml:space="preserve">The </w:t>
      </w:r>
      <w:r w:rsidR="003D49DD" w:rsidRPr="009578F3">
        <w:rPr>
          <w:sz w:val="22"/>
          <w:szCs w:val="22"/>
        </w:rPr>
        <w:t>A</w:t>
      </w:r>
      <w:r w:rsidR="00C327B0" w:rsidRPr="009578F3">
        <w:rPr>
          <w:sz w:val="22"/>
          <w:szCs w:val="22"/>
        </w:rPr>
        <w:t>PS R</w:t>
      </w:r>
      <w:r w:rsidR="00277344" w:rsidRPr="009578F3">
        <w:rPr>
          <w:sz w:val="22"/>
          <w:szCs w:val="22"/>
        </w:rPr>
        <w:t xml:space="preserve">eview </w:t>
      </w:r>
      <w:r w:rsidR="009A105D">
        <w:rPr>
          <w:sz w:val="22"/>
          <w:szCs w:val="22"/>
        </w:rPr>
        <w:t xml:space="preserve">is an opportunity to examine how </w:t>
      </w:r>
      <w:r w:rsidR="009A105D" w:rsidRPr="002F360A">
        <w:rPr>
          <w:sz w:val="22"/>
          <w:szCs w:val="22"/>
        </w:rPr>
        <w:t xml:space="preserve">the Commonwealth </w:t>
      </w:r>
      <w:r w:rsidR="009A105D">
        <w:rPr>
          <w:sz w:val="22"/>
          <w:szCs w:val="22"/>
        </w:rPr>
        <w:t xml:space="preserve">Government can </w:t>
      </w:r>
      <w:r w:rsidR="009A105D" w:rsidRPr="002F360A">
        <w:rPr>
          <w:sz w:val="22"/>
          <w:szCs w:val="22"/>
        </w:rPr>
        <w:t xml:space="preserve">best </w:t>
      </w:r>
      <w:r w:rsidR="009A105D">
        <w:rPr>
          <w:sz w:val="22"/>
          <w:szCs w:val="22"/>
        </w:rPr>
        <w:t xml:space="preserve">support </w:t>
      </w:r>
      <w:r w:rsidR="009A105D" w:rsidRPr="002F360A">
        <w:rPr>
          <w:sz w:val="22"/>
          <w:szCs w:val="22"/>
        </w:rPr>
        <w:t xml:space="preserve">scientific </w:t>
      </w:r>
      <w:r w:rsidR="009A105D">
        <w:rPr>
          <w:sz w:val="22"/>
          <w:szCs w:val="22"/>
        </w:rPr>
        <w:t>and technical advice to further policy design, and how it should fund science, research and innovation in the national interest.</w:t>
      </w:r>
      <w:r w:rsidR="00421D01">
        <w:rPr>
          <w:sz w:val="22"/>
          <w:szCs w:val="22"/>
        </w:rPr>
        <w:t xml:space="preserve"> </w:t>
      </w:r>
      <w:r w:rsidR="003802E4">
        <w:rPr>
          <w:sz w:val="22"/>
          <w:szCs w:val="22"/>
        </w:rPr>
        <w:t>Science</w:t>
      </w:r>
      <w:r w:rsidR="002246E2">
        <w:rPr>
          <w:sz w:val="22"/>
          <w:szCs w:val="22"/>
        </w:rPr>
        <w:t xml:space="preserve"> and research</w:t>
      </w:r>
      <w:r w:rsidR="00421D01">
        <w:rPr>
          <w:sz w:val="22"/>
          <w:szCs w:val="22"/>
        </w:rPr>
        <w:t xml:space="preserve"> </w:t>
      </w:r>
      <w:r w:rsidR="000E397F">
        <w:rPr>
          <w:sz w:val="22"/>
          <w:szCs w:val="22"/>
        </w:rPr>
        <w:t>are</w:t>
      </w:r>
      <w:r w:rsidR="00421D01">
        <w:rPr>
          <w:sz w:val="22"/>
          <w:szCs w:val="22"/>
        </w:rPr>
        <w:t xml:space="preserve"> at the heart of Australia’s future prosperity</w:t>
      </w:r>
      <w:r w:rsidR="003802E4">
        <w:rPr>
          <w:sz w:val="22"/>
          <w:szCs w:val="22"/>
        </w:rPr>
        <w:t>.</w:t>
      </w:r>
      <w:r w:rsidR="00421D01">
        <w:rPr>
          <w:sz w:val="22"/>
          <w:szCs w:val="22"/>
        </w:rPr>
        <w:t xml:space="preserve"> </w:t>
      </w:r>
    </w:p>
    <w:p w14:paraId="44129AD9" w14:textId="77777777" w:rsidR="009A105D" w:rsidRPr="002F360A" w:rsidRDefault="009A105D" w:rsidP="009A105D">
      <w:pPr>
        <w:rPr>
          <w:sz w:val="22"/>
          <w:szCs w:val="22"/>
        </w:rPr>
      </w:pPr>
    </w:p>
    <w:p w14:paraId="544D75F7" w14:textId="7612C308" w:rsidR="00094A0D" w:rsidRDefault="00C327B0" w:rsidP="009D2D83">
      <w:pPr>
        <w:rPr>
          <w:sz w:val="22"/>
          <w:szCs w:val="22"/>
        </w:rPr>
      </w:pPr>
      <w:r w:rsidRPr="009578F3">
        <w:rPr>
          <w:sz w:val="22"/>
          <w:szCs w:val="22"/>
        </w:rPr>
        <w:t xml:space="preserve">Present arrangements have evolved </w:t>
      </w:r>
      <w:r w:rsidR="00711FD3">
        <w:rPr>
          <w:sz w:val="22"/>
          <w:szCs w:val="22"/>
        </w:rPr>
        <w:t>incrementally</w:t>
      </w:r>
      <w:r w:rsidRPr="009578F3">
        <w:rPr>
          <w:sz w:val="22"/>
          <w:szCs w:val="22"/>
        </w:rPr>
        <w:t xml:space="preserve"> and have not been comprehensively reviewed for many years, so it is an open question as to whether they </w:t>
      </w:r>
      <w:r w:rsidR="00F0211D" w:rsidRPr="009578F3">
        <w:rPr>
          <w:sz w:val="22"/>
          <w:szCs w:val="22"/>
        </w:rPr>
        <w:t>remain optimal, whether they are sufficient to ensure the provision of the</w:t>
      </w:r>
      <w:r w:rsidR="001C4BB8">
        <w:rPr>
          <w:sz w:val="22"/>
          <w:szCs w:val="22"/>
        </w:rPr>
        <w:t xml:space="preserve"> best advice in a timely manner, and they adequately </w:t>
      </w:r>
      <w:r w:rsidR="00F0211D" w:rsidRPr="009578F3">
        <w:rPr>
          <w:sz w:val="22"/>
          <w:szCs w:val="22"/>
        </w:rPr>
        <w:t>align to the needs of the Commonwealth go</w:t>
      </w:r>
      <w:r w:rsidR="00DC34DC">
        <w:rPr>
          <w:sz w:val="22"/>
          <w:szCs w:val="22"/>
        </w:rPr>
        <w:t>v</w:t>
      </w:r>
      <w:r w:rsidR="003802E4">
        <w:rPr>
          <w:sz w:val="22"/>
          <w:szCs w:val="22"/>
        </w:rPr>
        <w:t xml:space="preserve">ernment and Australian public. </w:t>
      </w:r>
      <w:r w:rsidR="00DC34DC">
        <w:rPr>
          <w:sz w:val="22"/>
          <w:szCs w:val="22"/>
        </w:rPr>
        <w:t>At present it is unclear</w:t>
      </w:r>
      <w:r w:rsidR="009D2D83">
        <w:rPr>
          <w:sz w:val="22"/>
          <w:szCs w:val="22"/>
        </w:rPr>
        <w:t xml:space="preserve"> </w:t>
      </w:r>
      <w:r w:rsidR="00CB6C36">
        <w:rPr>
          <w:sz w:val="22"/>
          <w:szCs w:val="22"/>
        </w:rPr>
        <w:t xml:space="preserve">how </w:t>
      </w:r>
      <w:r w:rsidR="00DC34DC">
        <w:rPr>
          <w:sz w:val="22"/>
          <w:szCs w:val="22"/>
        </w:rPr>
        <w:t xml:space="preserve">scientific and technical advice is mapped into </w:t>
      </w:r>
      <w:r w:rsidR="009D2D83">
        <w:rPr>
          <w:sz w:val="22"/>
          <w:szCs w:val="22"/>
        </w:rPr>
        <w:t xml:space="preserve">the strategic </w:t>
      </w:r>
      <w:r w:rsidR="00DC34DC">
        <w:rPr>
          <w:sz w:val="22"/>
          <w:szCs w:val="22"/>
        </w:rPr>
        <w:t xml:space="preserve">policy </w:t>
      </w:r>
      <w:r w:rsidR="009D2D83">
        <w:rPr>
          <w:sz w:val="22"/>
          <w:szCs w:val="22"/>
        </w:rPr>
        <w:t>agenda across the APS.</w:t>
      </w:r>
    </w:p>
    <w:p w14:paraId="10819EB8" w14:textId="0F7C2C89" w:rsidR="00094A0D" w:rsidRDefault="00094A0D" w:rsidP="00DC34DC">
      <w:pPr>
        <w:tabs>
          <w:tab w:val="left" w:pos="2863"/>
        </w:tabs>
        <w:rPr>
          <w:sz w:val="22"/>
          <w:szCs w:val="22"/>
        </w:rPr>
      </w:pPr>
    </w:p>
    <w:p w14:paraId="3A5EFE58" w14:textId="633483EC" w:rsidR="00801455" w:rsidRDefault="004D6241" w:rsidP="00DC34DC">
      <w:pPr>
        <w:rPr>
          <w:sz w:val="22"/>
          <w:szCs w:val="22"/>
        </w:rPr>
      </w:pPr>
      <w:r>
        <w:rPr>
          <w:sz w:val="22"/>
          <w:szCs w:val="22"/>
        </w:rPr>
        <w:t xml:space="preserve">Australia and the APS needs a science, research and innovation system </w:t>
      </w:r>
      <w:r w:rsidR="005C4F4D">
        <w:rPr>
          <w:sz w:val="22"/>
          <w:szCs w:val="22"/>
        </w:rPr>
        <w:t xml:space="preserve">that is </w:t>
      </w:r>
      <w:r w:rsidR="0077700B">
        <w:rPr>
          <w:sz w:val="22"/>
          <w:szCs w:val="22"/>
        </w:rPr>
        <w:t xml:space="preserve">both responsive to government, </w:t>
      </w:r>
      <w:r w:rsidR="00405C24">
        <w:rPr>
          <w:sz w:val="22"/>
          <w:szCs w:val="22"/>
        </w:rPr>
        <w:t>industry</w:t>
      </w:r>
      <w:r w:rsidR="0077700B">
        <w:rPr>
          <w:sz w:val="22"/>
          <w:szCs w:val="22"/>
        </w:rPr>
        <w:t xml:space="preserve"> and community, </w:t>
      </w:r>
      <w:r w:rsidR="001C4BB8">
        <w:rPr>
          <w:sz w:val="22"/>
          <w:szCs w:val="22"/>
        </w:rPr>
        <w:t xml:space="preserve">as well as having the </w:t>
      </w:r>
      <w:r w:rsidR="002D05AA">
        <w:rPr>
          <w:sz w:val="22"/>
          <w:szCs w:val="22"/>
        </w:rPr>
        <w:t>capability</w:t>
      </w:r>
      <w:r w:rsidR="005C4F4D">
        <w:rPr>
          <w:sz w:val="22"/>
          <w:szCs w:val="22"/>
        </w:rPr>
        <w:t xml:space="preserve"> to deliver for longer </w:t>
      </w:r>
      <w:r w:rsidR="001C4BB8">
        <w:rPr>
          <w:sz w:val="22"/>
          <w:szCs w:val="22"/>
        </w:rPr>
        <w:t>term</w:t>
      </w:r>
      <w:r w:rsidR="005C4F4D">
        <w:rPr>
          <w:sz w:val="22"/>
          <w:szCs w:val="22"/>
        </w:rPr>
        <w:t xml:space="preserve"> </w:t>
      </w:r>
      <w:r w:rsidR="00405C24">
        <w:rPr>
          <w:sz w:val="22"/>
          <w:szCs w:val="22"/>
        </w:rPr>
        <w:t>horizons</w:t>
      </w:r>
      <w:r w:rsidR="00D61462">
        <w:rPr>
          <w:sz w:val="22"/>
          <w:szCs w:val="22"/>
        </w:rPr>
        <w:t xml:space="preserve">. </w:t>
      </w:r>
      <w:r w:rsidR="002D05AA">
        <w:rPr>
          <w:sz w:val="22"/>
          <w:szCs w:val="22"/>
        </w:rPr>
        <w:t xml:space="preserve">Alongside translational and applied research and innovation initiatives, </w:t>
      </w:r>
      <w:r w:rsidR="001C4BB8">
        <w:rPr>
          <w:sz w:val="22"/>
          <w:szCs w:val="22"/>
        </w:rPr>
        <w:t>the system</w:t>
      </w:r>
      <w:r w:rsidR="002D05AA">
        <w:rPr>
          <w:sz w:val="22"/>
          <w:szCs w:val="22"/>
        </w:rPr>
        <w:t xml:space="preserve"> must maintain and build its capacity for fundamental science to best meet </w:t>
      </w:r>
      <w:r w:rsidR="00D61462">
        <w:rPr>
          <w:sz w:val="22"/>
          <w:szCs w:val="22"/>
        </w:rPr>
        <w:t>future calls on the system, such as a major epi</w:t>
      </w:r>
      <w:r w:rsidR="00A422CA">
        <w:rPr>
          <w:sz w:val="22"/>
          <w:szCs w:val="22"/>
        </w:rPr>
        <w:t>demic or disaster.</w:t>
      </w:r>
      <w:r w:rsidR="00D61462">
        <w:rPr>
          <w:sz w:val="22"/>
          <w:szCs w:val="22"/>
        </w:rPr>
        <w:t xml:space="preserve"> Getting the policy, funding and governance architecture right for science, research and innovation will ensure the system can optimally balan</w:t>
      </w:r>
      <w:r w:rsidR="00880C3D">
        <w:rPr>
          <w:sz w:val="22"/>
          <w:szCs w:val="22"/>
        </w:rPr>
        <w:t xml:space="preserve">ce the requirements of industry, government and community </w:t>
      </w:r>
      <w:r w:rsidR="00D61462">
        <w:rPr>
          <w:sz w:val="22"/>
          <w:szCs w:val="22"/>
        </w:rPr>
        <w:t>with the need to maintain capacity</w:t>
      </w:r>
      <w:r w:rsidR="00DC34DC">
        <w:rPr>
          <w:sz w:val="22"/>
          <w:szCs w:val="22"/>
        </w:rPr>
        <w:t xml:space="preserve">. </w:t>
      </w:r>
    </w:p>
    <w:p w14:paraId="49A52346" w14:textId="77777777" w:rsidR="00801455" w:rsidRPr="002F360A" w:rsidRDefault="00801455" w:rsidP="00DC0592">
      <w:pPr>
        <w:rPr>
          <w:sz w:val="22"/>
          <w:szCs w:val="22"/>
        </w:rPr>
      </w:pPr>
    </w:p>
    <w:p w14:paraId="35DE2CC6" w14:textId="13AD8A73" w:rsidR="00DC0592" w:rsidRPr="00E24C4A" w:rsidRDefault="00DC0592" w:rsidP="00DC0592">
      <w:pPr>
        <w:rPr>
          <w:sz w:val="28"/>
          <w:szCs w:val="28"/>
        </w:rPr>
      </w:pPr>
      <w:r>
        <w:rPr>
          <w:b/>
          <w:bCs/>
          <w:sz w:val="28"/>
          <w:szCs w:val="28"/>
        </w:rPr>
        <w:t>Recommendations</w:t>
      </w:r>
    </w:p>
    <w:p w14:paraId="27688046" w14:textId="77777777" w:rsidR="00DC0592" w:rsidRPr="00176161" w:rsidRDefault="00DC0592" w:rsidP="00DC0592">
      <w:pPr>
        <w:pStyle w:val="ListParagraph"/>
        <w:rPr>
          <w:sz w:val="22"/>
          <w:szCs w:val="22"/>
        </w:rPr>
      </w:pPr>
    </w:p>
    <w:p w14:paraId="39189332" w14:textId="77777777" w:rsidR="00FB6364" w:rsidRPr="00FB6364" w:rsidRDefault="00FB6364" w:rsidP="00FB6364">
      <w:pPr>
        <w:rPr>
          <w:b/>
          <w:bCs/>
          <w:sz w:val="22"/>
          <w:szCs w:val="22"/>
        </w:rPr>
      </w:pPr>
      <w:r w:rsidRPr="00FB6364">
        <w:rPr>
          <w:b/>
          <w:bCs/>
          <w:sz w:val="22"/>
          <w:szCs w:val="22"/>
        </w:rPr>
        <w:t xml:space="preserve">Recommendation 1: </w:t>
      </w:r>
    </w:p>
    <w:p w14:paraId="6F0DB6D2" w14:textId="6FDB7F2E" w:rsidR="00DC0592" w:rsidRPr="00FB6364" w:rsidRDefault="00107A33" w:rsidP="00340D2C">
      <w:pPr>
        <w:pBdr>
          <w:top w:val="single" w:sz="4" w:space="1" w:color="auto"/>
          <w:left w:val="single" w:sz="4" w:space="4" w:color="auto"/>
          <w:bottom w:val="single" w:sz="4" w:space="1" w:color="auto"/>
          <w:right w:val="single" w:sz="4" w:space="4" w:color="auto"/>
        </w:pBdr>
        <w:ind w:left="142"/>
        <w:rPr>
          <w:sz w:val="22"/>
          <w:szCs w:val="22"/>
        </w:rPr>
      </w:pPr>
      <w:r w:rsidRPr="00FB6364">
        <w:rPr>
          <w:sz w:val="22"/>
          <w:szCs w:val="22"/>
        </w:rPr>
        <w:t>The APS and ministries should be structured such that there is a</w:t>
      </w:r>
      <w:r w:rsidR="00421D01">
        <w:rPr>
          <w:sz w:val="22"/>
          <w:szCs w:val="22"/>
        </w:rPr>
        <w:t xml:space="preserve"> single</w:t>
      </w:r>
      <w:r w:rsidRPr="00FB6364">
        <w:rPr>
          <w:sz w:val="22"/>
          <w:szCs w:val="22"/>
        </w:rPr>
        <w:t xml:space="preserve"> </w:t>
      </w:r>
      <w:r w:rsidR="00C71CB6">
        <w:rPr>
          <w:sz w:val="22"/>
          <w:szCs w:val="22"/>
        </w:rPr>
        <w:t xml:space="preserve">main </w:t>
      </w:r>
      <w:r w:rsidRPr="00FB6364">
        <w:rPr>
          <w:sz w:val="22"/>
          <w:szCs w:val="22"/>
        </w:rPr>
        <w:t>“</w:t>
      </w:r>
      <w:r w:rsidR="00DC0592" w:rsidRPr="00FB6364">
        <w:rPr>
          <w:sz w:val="22"/>
          <w:szCs w:val="22"/>
        </w:rPr>
        <w:t>champion</w:t>
      </w:r>
      <w:r w:rsidRPr="00FB6364">
        <w:rPr>
          <w:sz w:val="22"/>
          <w:szCs w:val="22"/>
        </w:rPr>
        <w:t>”</w:t>
      </w:r>
      <w:r w:rsidR="00DC0592" w:rsidRPr="00FB6364">
        <w:rPr>
          <w:sz w:val="22"/>
          <w:szCs w:val="22"/>
        </w:rPr>
        <w:t xml:space="preserve"> </w:t>
      </w:r>
      <w:r w:rsidR="003E3984">
        <w:rPr>
          <w:sz w:val="22"/>
          <w:szCs w:val="22"/>
        </w:rPr>
        <w:t xml:space="preserve">for </w:t>
      </w:r>
      <w:r w:rsidR="003E3984" w:rsidRPr="00FB6364">
        <w:rPr>
          <w:sz w:val="22"/>
          <w:szCs w:val="22"/>
        </w:rPr>
        <w:t>science, research and innovation</w:t>
      </w:r>
      <w:r w:rsidRPr="00FB6364">
        <w:rPr>
          <w:sz w:val="22"/>
          <w:szCs w:val="22"/>
        </w:rPr>
        <w:t xml:space="preserve"> </w:t>
      </w:r>
      <w:r w:rsidR="0022450E">
        <w:rPr>
          <w:sz w:val="22"/>
          <w:szCs w:val="22"/>
        </w:rPr>
        <w:t>in government and in cabinet,</w:t>
      </w:r>
      <w:r w:rsidR="0022450E" w:rsidRPr="00FB6364">
        <w:rPr>
          <w:sz w:val="22"/>
          <w:szCs w:val="22"/>
        </w:rPr>
        <w:t xml:space="preserve"> </w:t>
      </w:r>
      <w:r w:rsidR="002317D6" w:rsidRPr="00FB6364">
        <w:rPr>
          <w:sz w:val="22"/>
          <w:szCs w:val="22"/>
        </w:rPr>
        <w:t>with</w:t>
      </w:r>
      <w:r w:rsidRPr="00FB6364">
        <w:rPr>
          <w:sz w:val="22"/>
          <w:szCs w:val="22"/>
        </w:rPr>
        <w:t xml:space="preserve"> a</w:t>
      </w:r>
      <w:r w:rsidR="0022450E">
        <w:rPr>
          <w:sz w:val="22"/>
          <w:szCs w:val="22"/>
        </w:rPr>
        <w:t xml:space="preserve"> </w:t>
      </w:r>
      <w:r w:rsidRPr="00FB6364">
        <w:rPr>
          <w:sz w:val="22"/>
          <w:szCs w:val="22"/>
        </w:rPr>
        <w:t>Minister responsible</w:t>
      </w:r>
      <w:r w:rsidR="00DC0592" w:rsidRPr="00FB6364">
        <w:rPr>
          <w:sz w:val="22"/>
          <w:szCs w:val="22"/>
        </w:rPr>
        <w:t xml:space="preserve"> for </w:t>
      </w:r>
      <w:r w:rsidR="00421D01">
        <w:rPr>
          <w:sz w:val="22"/>
          <w:szCs w:val="22"/>
        </w:rPr>
        <w:t xml:space="preserve">optimising </w:t>
      </w:r>
      <w:r w:rsidR="00DC0592" w:rsidRPr="00FB6364">
        <w:rPr>
          <w:sz w:val="22"/>
          <w:szCs w:val="22"/>
        </w:rPr>
        <w:t>all direct government investment in science, research and innovation.</w:t>
      </w:r>
    </w:p>
    <w:p w14:paraId="7C2B9BBC" w14:textId="1D5CA365" w:rsidR="00DC0592" w:rsidRDefault="00DC0592" w:rsidP="00FB6364">
      <w:pPr>
        <w:rPr>
          <w:sz w:val="22"/>
          <w:szCs w:val="22"/>
        </w:rPr>
      </w:pPr>
    </w:p>
    <w:p w14:paraId="05F50BBF" w14:textId="4C4705CB" w:rsidR="00FB6364" w:rsidRPr="00FB6364" w:rsidRDefault="00FB6364" w:rsidP="00FB6364">
      <w:pPr>
        <w:rPr>
          <w:b/>
          <w:bCs/>
          <w:sz w:val="22"/>
          <w:szCs w:val="22"/>
        </w:rPr>
      </w:pPr>
      <w:r w:rsidRPr="00FB6364">
        <w:rPr>
          <w:b/>
          <w:bCs/>
          <w:sz w:val="22"/>
          <w:szCs w:val="22"/>
        </w:rPr>
        <w:t>Recommendation 2</w:t>
      </w:r>
      <w:r>
        <w:rPr>
          <w:b/>
          <w:bCs/>
          <w:sz w:val="22"/>
          <w:szCs w:val="22"/>
        </w:rPr>
        <w:t>:</w:t>
      </w:r>
    </w:p>
    <w:p w14:paraId="30026878" w14:textId="0BB55077" w:rsidR="00DC0592" w:rsidRPr="00FB6364" w:rsidRDefault="002317D6" w:rsidP="00340D2C">
      <w:pPr>
        <w:pBdr>
          <w:top w:val="single" w:sz="4" w:space="1" w:color="auto"/>
          <w:left w:val="single" w:sz="4" w:space="4" w:color="auto"/>
          <w:bottom w:val="single" w:sz="4" w:space="1" w:color="auto"/>
          <w:right w:val="single" w:sz="4" w:space="4" w:color="auto"/>
        </w:pBdr>
        <w:ind w:left="142"/>
        <w:rPr>
          <w:sz w:val="22"/>
          <w:szCs w:val="22"/>
        </w:rPr>
      </w:pPr>
      <w:r w:rsidRPr="00FB6364">
        <w:rPr>
          <w:sz w:val="22"/>
          <w:szCs w:val="22"/>
        </w:rPr>
        <w:t>A t</w:t>
      </w:r>
      <w:r w:rsidR="00DC0592" w:rsidRPr="00FB6364">
        <w:rPr>
          <w:sz w:val="22"/>
          <w:szCs w:val="22"/>
        </w:rPr>
        <w:t xml:space="preserve">ransparent </w:t>
      </w:r>
      <w:r w:rsidR="009A105D" w:rsidRPr="00FB6364">
        <w:rPr>
          <w:sz w:val="22"/>
          <w:szCs w:val="22"/>
        </w:rPr>
        <w:t xml:space="preserve">process should be implemented for priority setting </w:t>
      </w:r>
      <w:r w:rsidR="009A105D">
        <w:rPr>
          <w:sz w:val="22"/>
          <w:szCs w:val="22"/>
        </w:rPr>
        <w:t xml:space="preserve">for </w:t>
      </w:r>
      <w:r w:rsidR="009A105D" w:rsidRPr="00FB6364">
        <w:rPr>
          <w:sz w:val="22"/>
          <w:szCs w:val="22"/>
        </w:rPr>
        <w:t>investment in science, research and innovation</w:t>
      </w:r>
      <w:r w:rsidR="00880C3D">
        <w:rPr>
          <w:sz w:val="22"/>
          <w:szCs w:val="22"/>
        </w:rPr>
        <w:t>, that meets the needs of government</w:t>
      </w:r>
      <w:r w:rsidR="009A105D">
        <w:rPr>
          <w:sz w:val="22"/>
          <w:szCs w:val="22"/>
        </w:rPr>
        <w:t>. This should be</w:t>
      </w:r>
      <w:r w:rsidR="009A105D" w:rsidRPr="00FB6364">
        <w:rPr>
          <w:sz w:val="22"/>
          <w:szCs w:val="22"/>
        </w:rPr>
        <w:t xml:space="preserve"> through an independent body, such as a national cou</w:t>
      </w:r>
      <w:r w:rsidR="009A105D">
        <w:rPr>
          <w:sz w:val="22"/>
          <w:szCs w:val="22"/>
        </w:rPr>
        <w:t>n</w:t>
      </w:r>
      <w:r w:rsidR="00880C3D">
        <w:rPr>
          <w:sz w:val="22"/>
          <w:szCs w:val="22"/>
        </w:rPr>
        <w:t>cil for science and innovation</w:t>
      </w:r>
      <w:r w:rsidR="00C71CB6">
        <w:rPr>
          <w:sz w:val="22"/>
          <w:szCs w:val="22"/>
        </w:rPr>
        <w:t xml:space="preserve"> le</w:t>
      </w:r>
      <w:r w:rsidR="0065342F">
        <w:rPr>
          <w:sz w:val="22"/>
          <w:szCs w:val="22"/>
        </w:rPr>
        <w:t>d by the C</w:t>
      </w:r>
      <w:r w:rsidR="00C71CB6">
        <w:rPr>
          <w:sz w:val="22"/>
          <w:szCs w:val="22"/>
        </w:rPr>
        <w:t>hi</w:t>
      </w:r>
      <w:r w:rsidR="0065342F">
        <w:rPr>
          <w:sz w:val="22"/>
          <w:szCs w:val="22"/>
        </w:rPr>
        <w:t>ef S</w:t>
      </w:r>
      <w:r w:rsidR="00C71CB6">
        <w:rPr>
          <w:sz w:val="22"/>
          <w:szCs w:val="22"/>
        </w:rPr>
        <w:t>cientist</w:t>
      </w:r>
      <w:r w:rsidR="00880C3D">
        <w:rPr>
          <w:sz w:val="22"/>
          <w:szCs w:val="22"/>
        </w:rPr>
        <w:t>, which supports existing and future capacity.</w:t>
      </w:r>
    </w:p>
    <w:p w14:paraId="676E9018" w14:textId="236EA002" w:rsidR="00DC0592" w:rsidRDefault="00DC0592" w:rsidP="00FB6364">
      <w:pPr>
        <w:rPr>
          <w:sz w:val="22"/>
          <w:szCs w:val="22"/>
        </w:rPr>
      </w:pPr>
    </w:p>
    <w:p w14:paraId="65FD2838" w14:textId="107D9215" w:rsidR="00FB6364" w:rsidRPr="00FB6364" w:rsidRDefault="00FB6364" w:rsidP="00FB6364">
      <w:pPr>
        <w:rPr>
          <w:b/>
          <w:bCs/>
          <w:sz w:val="22"/>
          <w:szCs w:val="22"/>
        </w:rPr>
      </w:pPr>
      <w:r w:rsidRPr="00FB6364">
        <w:rPr>
          <w:b/>
          <w:bCs/>
          <w:sz w:val="22"/>
          <w:szCs w:val="22"/>
        </w:rPr>
        <w:t>Recommendation 3:</w:t>
      </w:r>
    </w:p>
    <w:p w14:paraId="179AD405" w14:textId="5337CA29" w:rsidR="00DC0592" w:rsidRPr="00FB6364" w:rsidRDefault="00DC0592" w:rsidP="00340D2C">
      <w:pPr>
        <w:pBdr>
          <w:top w:val="single" w:sz="4" w:space="1" w:color="auto"/>
          <w:left w:val="single" w:sz="4" w:space="4" w:color="auto"/>
          <w:bottom w:val="single" w:sz="4" w:space="1" w:color="auto"/>
          <w:right w:val="single" w:sz="4" w:space="4" w:color="auto"/>
        </w:pBdr>
        <w:ind w:left="142"/>
        <w:rPr>
          <w:sz w:val="22"/>
          <w:szCs w:val="22"/>
        </w:rPr>
      </w:pPr>
      <w:r w:rsidRPr="00FB6364">
        <w:rPr>
          <w:sz w:val="22"/>
          <w:szCs w:val="22"/>
        </w:rPr>
        <w:t xml:space="preserve">Priorities </w:t>
      </w:r>
      <w:r w:rsidR="003E3984">
        <w:rPr>
          <w:sz w:val="22"/>
          <w:szCs w:val="22"/>
        </w:rPr>
        <w:t xml:space="preserve">for </w:t>
      </w:r>
      <w:r w:rsidR="003E3984" w:rsidRPr="00FB6364">
        <w:rPr>
          <w:sz w:val="22"/>
          <w:szCs w:val="22"/>
        </w:rPr>
        <w:t xml:space="preserve">investment in science, research and innovation </w:t>
      </w:r>
      <w:r w:rsidR="005D34CE">
        <w:rPr>
          <w:sz w:val="22"/>
          <w:szCs w:val="22"/>
        </w:rPr>
        <w:t xml:space="preserve">which are </w:t>
      </w:r>
      <w:r w:rsidR="002317D6" w:rsidRPr="00FB6364">
        <w:rPr>
          <w:sz w:val="22"/>
          <w:szCs w:val="22"/>
        </w:rPr>
        <w:t xml:space="preserve">set through the independent body should </w:t>
      </w:r>
      <w:r w:rsidRPr="00FB6364">
        <w:rPr>
          <w:sz w:val="22"/>
          <w:szCs w:val="22"/>
        </w:rPr>
        <w:t>drive allocation of all funding from a single, legislatively protected pool</w:t>
      </w:r>
      <w:r w:rsidR="002317D6" w:rsidRPr="00FB6364">
        <w:rPr>
          <w:sz w:val="22"/>
          <w:szCs w:val="22"/>
        </w:rPr>
        <w:t xml:space="preserve">, </w:t>
      </w:r>
      <w:r w:rsidR="009A105D">
        <w:rPr>
          <w:sz w:val="22"/>
          <w:szCs w:val="22"/>
        </w:rPr>
        <w:t>in the form of</w:t>
      </w:r>
      <w:r w:rsidR="002317D6" w:rsidRPr="00FB6364">
        <w:rPr>
          <w:sz w:val="22"/>
          <w:szCs w:val="22"/>
        </w:rPr>
        <w:t xml:space="preserve"> an endowment</w:t>
      </w:r>
      <w:r w:rsidR="00C71CB6">
        <w:rPr>
          <w:sz w:val="22"/>
          <w:szCs w:val="22"/>
        </w:rPr>
        <w:t>, with the aim to ensure investment remains stable</w:t>
      </w:r>
    </w:p>
    <w:p w14:paraId="6E6C1EC2" w14:textId="77777777" w:rsidR="00B87A8F" w:rsidRDefault="00B87A8F" w:rsidP="00DC0592">
      <w:pPr>
        <w:rPr>
          <w:b/>
          <w:bCs/>
          <w:sz w:val="28"/>
          <w:szCs w:val="28"/>
        </w:rPr>
      </w:pPr>
    </w:p>
    <w:p w14:paraId="2A904C76" w14:textId="10E9A503" w:rsidR="00DC0592" w:rsidRDefault="004A1731" w:rsidP="00DC0592">
      <w:pPr>
        <w:rPr>
          <w:b/>
          <w:bCs/>
          <w:sz w:val="28"/>
          <w:szCs w:val="28"/>
        </w:rPr>
      </w:pPr>
      <w:r>
        <w:rPr>
          <w:b/>
          <w:bCs/>
          <w:sz w:val="28"/>
          <w:szCs w:val="28"/>
        </w:rPr>
        <w:lastRenderedPageBreak/>
        <w:t xml:space="preserve">Summary of </w:t>
      </w:r>
      <w:r w:rsidR="004D6241">
        <w:rPr>
          <w:b/>
          <w:bCs/>
          <w:sz w:val="28"/>
          <w:szCs w:val="28"/>
        </w:rPr>
        <w:t xml:space="preserve">key </w:t>
      </w:r>
      <w:r>
        <w:rPr>
          <w:b/>
          <w:bCs/>
          <w:sz w:val="28"/>
          <w:szCs w:val="28"/>
        </w:rPr>
        <w:t>i</w:t>
      </w:r>
      <w:r w:rsidR="00DC0592" w:rsidRPr="00E24C4A">
        <w:rPr>
          <w:b/>
          <w:bCs/>
          <w:sz w:val="28"/>
          <w:szCs w:val="28"/>
        </w:rPr>
        <w:t>ssues</w:t>
      </w:r>
    </w:p>
    <w:p w14:paraId="6C1C6EDC" w14:textId="1C6CC425" w:rsidR="00583050" w:rsidRPr="0022450E" w:rsidRDefault="003E3984" w:rsidP="0022450E">
      <w:pPr>
        <w:rPr>
          <w:sz w:val="22"/>
          <w:szCs w:val="22"/>
        </w:rPr>
      </w:pPr>
      <w:r>
        <w:rPr>
          <w:sz w:val="22"/>
          <w:szCs w:val="22"/>
        </w:rPr>
        <w:t xml:space="preserve">There are key issues to resolve relating to how </w:t>
      </w:r>
      <w:r w:rsidRPr="002F360A">
        <w:rPr>
          <w:sz w:val="22"/>
          <w:szCs w:val="22"/>
        </w:rPr>
        <w:t xml:space="preserve">the Commonwealth </w:t>
      </w:r>
      <w:r>
        <w:rPr>
          <w:sz w:val="22"/>
          <w:szCs w:val="22"/>
        </w:rPr>
        <w:t xml:space="preserve">Government </w:t>
      </w:r>
      <w:r w:rsidR="000D51B1">
        <w:rPr>
          <w:sz w:val="22"/>
          <w:szCs w:val="22"/>
        </w:rPr>
        <w:t>supports</w:t>
      </w:r>
      <w:r>
        <w:rPr>
          <w:sz w:val="22"/>
          <w:szCs w:val="22"/>
        </w:rPr>
        <w:t xml:space="preserve"> </w:t>
      </w:r>
      <w:r w:rsidRPr="002F360A">
        <w:rPr>
          <w:sz w:val="22"/>
          <w:szCs w:val="22"/>
        </w:rPr>
        <w:t xml:space="preserve">scientific </w:t>
      </w:r>
      <w:r>
        <w:rPr>
          <w:sz w:val="22"/>
          <w:szCs w:val="22"/>
        </w:rPr>
        <w:t xml:space="preserve">and technical advice to further policy design, and how it should </w:t>
      </w:r>
      <w:r w:rsidR="000D51B1">
        <w:rPr>
          <w:sz w:val="22"/>
          <w:szCs w:val="22"/>
        </w:rPr>
        <w:t xml:space="preserve">fund </w:t>
      </w:r>
      <w:r>
        <w:rPr>
          <w:sz w:val="22"/>
          <w:szCs w:val="22"/>
        </w:rPr>
        <w:t>science, research and innovation in the national interest.</w:t>
      </w:r>
    </w:p>
    <w:p w14:paraId="7C97FC51" w14:textId="77777777" w:rsidR="00D216BF" w:rsidRDefault="00D216BF" w:rsidP="00AE0B78">
      <w:pPr>
        <w:rPr>
          <w:b/>
          <w:bCs/>
          <w:sz w:val="22"/>
          <w:szCs w:val="22"/>
        </w:rPr>
      </w:pPr>
    </w:p>
    <w:p w14:paraId="7A9A897B" w14:textId="5EE87668" w:rsidR="00583627" w:rsidRDefault="00DC0592" w:rsidP="00AE0B78">
      <w:pPr>
        <w:rPr>
          <w:sz w:val="22"/>
          <w:szCs w:val="22"/>
        </w:rPr>
      </w:pPr>
      <w:r w:rsidRPr="00583050">
        <w:rPr>
          <w:b/>
          <w:bCs/>
          <w:sz w:val="22"/>
          <w:szCs w:val="22"/>
        </w:rPr>
        <w:t>Currently</w:t>
      </w:r>
      <w:r w:rsidR="003E3984">
        <w:rPr>
          <w:b/>
          <w:bCs/>
          <w:sz w:val="22"/>
          <w:szCs w:val="22"/>
        </w:rPr>
        <w:t xml:space="preserve"> </w:t>
      </w:r>
      <w:r w:rsidR="00D216BF">
        <w:rPr>
          <w:b/>
          <w:bCs/>
          <w:sz w:val="22"/>
          <w:szCs w:val="22"/>
        </w:rPr>
        <w:t xml:space="preserve">there is still some way to go </w:t>
      </w:r>
      <w:r w:rsidR="00E45CAF">
        <w:rPr>
          <w:b/>
          <w:bCs/>
          <w:sz w:val="22"/>
          <w:szCs w:val="22"/>
        </w:rPr>
        <w:t xml:space="preserve">to </w:t>
      </w:r>
      <w:r w:rsidR="00634050">
        <w:rPr>
          <w:b/>
          <w:bCs/>
          <w:sz w:val="22"/>
          <w:szCs w:val="22"/>
        </w:rPr>
        <w:t>achieve</w:t>
      </w:r>
      <w:r w:rsidR="00D216BF">
        <w:rPr>
          <w:b/>
          <w:bCs/>
          <w:sz w:val="22"/>
          <w:szCs w:val="22"/>
        </w:rPr>
        <w:t xml:space="preserve"> a </w:t>
      </w:r>
      <w:r w:rsidR="003C0EAD">
        <w:rPr>
          <w:b/>
          <w:bCs/>
          <w:sz w:val="22"/>
          <w:szCs w:val="22"/>
        </w:rPr>
        <w:t>“</w:t>
      </w:r>
      <w:r w:rsidRPr="00583050">
        <w:rPr>
          <w:b/>
          <w:bCs/>
          <w:sz w:val="22"/>
          <w:szCs w:val="22"/>
        </w:rPr>
        <w:t>critical mass</w:t>
      </w:r>
      <w:r w:rsidR="003C0EAD">
        <w:rPr>
          <w:b/>
          <w:bCs/>
          <w:sz w:val="22"/>
          <w:szCs w:val="22"/>
        </w:rPr>
        <w:t>”</w:t>
      </w:r>
      <w:r w:rsidRPr="00583050">
        <w:rPr>
          <w:b/>
          <w:bCs/>
          <w:sz w:val="22"/>
          <w:szCs w:val="22"/>
        </w:rPr>
        <w:t xml:space="preserve"> </w:t>
      </w:r>
      <w:r w:rsidR="003E3984" w:rsidRPr="00583050">
        <w:rPr>
          <w:b/>
          <w:bCs/>
          <w:sz w:val="22"/>
          <w:szCs w:val="22"/>
        </w:rPr>
        <w:t xml:space="preserve">in government </w:t>
      </w:r>
      <w:r w:rsidRPr="00583050">
        <w:rPr>
          <w:b/>
          <w:bCs/>
          <w:sz w:val="22"/>
          <w:szCs w:val="22"/>
        </w:rPr>
        <w:t>for science, research and innovation:</w:t>
      </w:r>
      <w:r w:rsidRPr="00583050">
        <w:rPr>
          <w:sz w:val="22"/>
          <w:szCs w:val="22"/>
        </w:rPr>
        <w:t xml:space="preserve"> </w:t>
      </w:r>
    </w:p>
    <w:p w14:paraId="3058F27D" w14:textId="134DBA32" w:rsidR="00AE635A" w:rsidRPr="00583050" w:rsidRDefault="00DC0592" w:rsidP="00AE0B78">
      <w:pPr>
        <w:rPr>
          <w:sz w:val="22"/>
          <w:szCs w:val="22"/>
        </w:rPr>
      </w:pPr>
      <w:r w:rsidRPr="00583050">
        <w:rPr>
          <w:sz w:val="22"/>
          <w:szCs w:val="22"/>
        </w:rPr>
        <w:t>Science, research and innovation lacks a critical mass in government and there is no single champion for science and research within government.</w:t>
      </w:r>
      <w:r w:rsidR="00583627">
        <w:rPr>
          <w:sz w:val="22"/>
          <w:szCs w:val="22"/>
        </w:rPr>
        <w:t xml:space="preserve"> </w:t>
      </w:r>
      <w:r w:rsidRPr="00583050">
        <w:rPr>
          <w:sz w:val="22"/>
          <w:szCs w:val="22"/>
        </w:rPr>
        <w:t xml:space="preserve">Responsibility is divided between </w:t>
      </w:r>
      <w:r w:rsidR="00583627">
        <w:rPr>
          <w:sz w:val="22"/>
          <w:szCs w:val="22"/>
        </w:rPr>
        <w:t>a number of</w:t>
      </w:r>
      <w:r w:rsidRPr="00583050">
        <w:rPr>
          <w:sz w:val="22"/>
          <w:szCs w:val="22"/>
        </w:rPr>
        <w:t xml:space="preserve"> ministers</w:t>
      </w:r>
      <w:r w:rsidR="00583627">
        <w:rPr>
          <w:sz w:val="22"/>
          <w:szCs w:val="22"/>
        </w:rPr>
        <w:t xml:space="preserve"> of different seniority</w:t>
      </w:r>
      <w:r w:rsidRPr="00583050">
        <w:rPr>
          <w:sz w:val="22"/>
          <w:szCs w:val="22"/>
        </w:rPr>
        <w:t xml:space="preserve">, </w:t>
      </w:r>
      <w:r w:rsidR="00583627">
        <w:rPr>
          <w:sz w:val="22"/>
          <w:szCs w:val="22"/>
        </w:rPr>
        <w:t>and agency heads</w:t>
      </w:r>
      <w:r w:rsidRPr="00583050">
        <w:rPr>
          <w:sz w:val="22"/>
          <w:szCs w:val="22"/>
        </w:rPr>
        <w:t>.</w:t>
      </w:r>
      <w:r w:rsidR="00AE0B78">
        <w:rPr>
          <w:sz w:val="22"/>
          <w:szCs w:val="22"/>
        </w:rPr>
        <w:t xml:space="preserve"> </w:t>
      </w:r>
      <w:r w:rsidR="00D216BF">
        <w:rPr>
          <w:sz w:val="22"/>
          <w:szCs w:val="22"/>
        </w:rPr>
        <w:t xml:space="preserve">The role of the </w:t>
      </w:r>
      <w:r w:rsidR="00D216BF" w:rsidRPr="00583050">
        <w:rPr>
          <w:sz w:val="22"/>
          <w:szCs w:val="22"/>
        </w:rPr>
        <w:t>Chief Scientist</w:t>
      </w:r>
      <w:r w:rsidR="00D216BF">
        <w:rPr>
          <w:sz w:val="22"/>
          <w:szCs w:val="22"/>
        </w:rPr>
        <w:t xml:space="preserve">, a position which should be a main champion, needs to be extended. At present </w:t>
      </w:r>
      <w:r w:rsidR="00AE0B78">
        <w:rPr>
          <w:sz w:val="22"/>
          <w:szCs w:val="22"/>
        </w:rPr>
        <w:t xml:space="preserve">it </w:t>
      </w:r>
      <w:r w:rsidR="00D216BF">
        <w:rPr>
          <w:sz w:val="22"/>
          <w:szCs w:val="22"/>
        </w:rPr>
        <w:t xml:space="preserve">is </w:t>
      </w:r>
      <w:r w:rsidR="00AE0B78">
        <w:rPr>
          <w:sz w:val="22"/>
          <w:szCs w:val="22"/>
        </w:rPr>
        <w:t>difficult to ensure a coherent approach to support for science, research and innovation and ensure that it is a national priority. This makes the task difficult of aligning investment in science, research and innovation with the strategic aims of the National</w:t>
      </w:r>
      <w:r w:rsidR="003C0EAD">
        <w:rPr>
          <w:sz w:val="22"/>
          <w:szCs w:val="22"/>
        </w:rPr>
        <w:t xml:space="preserve"> Science and Innovation Agenda.</w:t>
      </w:r>
    </w:p>
    <w:p w14:paraId="46D17452" w14:textId="6508CF8E" w:rsidR="00AE635A" w:rsidRPr="00AE635A" w:rsidRDefault="00AE635A" w:rsidP="00AE635A">
      <w:pPr>
        <w:rPr>
          <w:sz w:val="22"/>
          <w:szCs w:val="22"/>
        </w:rPr>
      </w:pPr>
    </w:p>
    <w:p w14:paraId="603F3779" w14:textId="43693D55" w:rsidR="00583627" w:rsidRDefault="00281D9E" w:rsidP="00583050">
      <w:pPr>
        <w:rPr>
          <w:sz w:val="22"/>
          <w:szCs w:val="22"/>
        </w:rPr>
      </w:pPr>
      <w:r>
        <w:rPr>
          <w:b/>
          <w:bCs/>
          <w:sz w:val="22"/>
          <w:szCs w:val="22"/>
        </w:rPr>
        <w:t>The s</w:t>
      </w:r>
      <w:r w:rsidR="00AE0B78">
        <w:rPr>
          <w:b/>
          <w:bCs/>
          <w:sz w:val="22"/>
          <w:szCs w:val="22"/>
        </w:rPr>
        <w:t xml:space="preserve">ystem </w:t>
      </w:r>
      <w:r w:rsidR="005138AC">
        <w:rPr>
          <w:b/>
          <w:bCs/>
          <w:sz w:val="22"/>
          <w:szCs w:val="22"/>
        </w:rPr>
        <w:t>would</w:t>
      </w:r>
      <w:r w:rsidR="00C71CB6">
        <w:rPr>
          <w:b/>
          <w:bCs/>
          <w:sz w:val="22"/>
          <w:szCs w:val="22"/>
        </w:rPr>
        <w:t xml:space="preserve"> benefit from </w:t>
      </w:r>
      <w:r>
        <w:rPr>
          <w:b/>
          <w:bCs/>
          <w:sz w:val="22"/>
          <w:szCs w:val="22"/>
        </w:rPr>
        <w:t>more</w:t>
      </w:r>
      <w:r w:rsidR="00C71CB6">
        <w:rPr>
          <w:b/>
          <w:bCs/>
          <w:sz w:val="22"/>
          <w:szCs w:val="22"/>
        </w:rPr>
        <w:t xml:space="preserve"> transparency over </w:t>
      </w:r>
      <w:r w:rsidR="00DC0592" w:rsidRPr="00583050">
        <w:rPr>
          <w:b/>
          <w:bCs/>
          <w:sz w:val="22"/>
          <w:szCs w:val="22"/>
        </w:rPr>
        <w:t>funding allocation</w:t>
      </w:r>
      <w:r w:rsidR="00C71CB6">
        <w:rPr>
          <w:b/>
          <w:bCs/>
          <w:sz w:val="22"/>
          <w:szCs w:val="22"/>
        </w:rPr>
        <w:t xml:space="preserve"> and investment logic</w:t>
      </w:r>
      <w:r w:rsidR="00DC0592" w:rsidRPr="00583050">
        <w:rPr>
          <w:b/>
          <w:bCs/>
          <w:sz w:val="22"/>
          <w:szCs w:val="22"/>
        </w:rPr>
        <w:t>:</w:t>
      </w:r>
      <w:r w:rsidR="00DC0592" w:rsidRPr="00583050">
        <w:rPr>
          <w:sz w:val="22"/>
          <w:szCs w:val="22"/>
        </w:rPr>
        <w:t xml:space="preserve"> </w:t>
      </w:r>
    </w:p>
    <w:p w14:paraId="12DDEC8A" w14:textId="6AE0737E" w:rsidR="00AE635A" w:rsidRPr="00AE635A" w:rsidRDefault="00AE0B78" w:rsidP="00726880">
      <w:pPr>
        <w:rPr>
          <w:sz w:val="22"/>
          <w:szCs w:val="22"/>
        </w:rPr>
      </w:pPr>
      <w:r>
        <w:rPr>
          <w:sz w:val="22"/>
          <w:szCs w:val="22"/>
        </w:rPr>
        <w:t xml:space="preserve">At present </w:t>
      </w:r>
      <w:r w:rsidR="00583627">
        <w:rPr>
          <w:sz w:val="22"/>
          <w:szCs w:val="22"/>
        </w:rPr>
        <w:t xml:space="preserve">there is </w:t>
      </w:r>
      <w:r w:rsidR="008D10EC">
        <w:rPr>
          <w:sz w:val="22"/>
          <w:szCs w:val="22"/>
        </w:rPr>
        <w:t xml:space="preserve">not enough </w:t>
      </w:r>
      <w:r w:rsidR="00DC0592" w:rsidRPr="00583050">
        <w:rPr>
          <w:sz w:val="22"/>
          <w:szCs w:val="22"/>
        </w:rPr>
        <w:t xml:space="preserve">transparency </w:t>
      </w:r>
      <w:r w:rsidR="008D10EC">
        <w:rPr>
          <w:sz w:val="22"/>
          <w:szCs w:val="22"/>
        </w:rPr>
        <w:t xml:space="preserve">over investment logics and </w:t>
      </w:r>
      <w:r w:rsidR="00DC0592" w:rsidRPr="00583050">
        <w:rPr>
          <w:sz w:val="22"/>
          <w:szCs w:val="22"/>
        </w:rPr>
        <w:t xml:space="preserve">how allocation of resources </w:t>
      </w:r>
      <w:r w:rsidR="003C0EAD" w:rsidRPr="00583050">
        <w:rPr>
          <w:sz w:val="22"/>
          <w:szCs w:val="22"/>
        </w:rPr>
        <w:t>matches</w:t>
      </w:r>
      <w:r w:rsidR="00DC0592" w:rsidRPr="00583050">
        <w:rPr>
          <w:sz w:val="22"/>
          <w:szCs w:val="22"/>
        </w:rPr>
        <w:t xml:space="preserve"> </w:t>
      </w:r>
      <w:r w:rsidR="004D6241">
        <w:rPr>
          <w:sz w:val="22"/>
          <w:szCs w:val="22"/>
        </w:rPr>
        <w:t xml:space="preserve">government </w:t>
      </w:r>
      <w:r w:rsidR="00DC0592" w:rsidRPr="00583050">
        <w:rPr>
          <w:sz w:val="22"/>
          <w:szCs w:val="22"/>
        </w:rPr>
        <w:t xml:space="preserve">priorities for </w:t>
      </w:r>
      <w:r w:rsidR="003C0EAD">
        <w:rPr>
          <w:sz w:val="22"/>
          <w:szCs w:val="22"/>
        </w:rPr>
        <w:t xml:space="preserve">investment in </w:t>
      </w:r>
      <w:r w:rsidR="00DC0592" w:rsidRPr="00583050">
        <w:rPr>
          <w:sz w:val="22"/>
          <w:szCs w:val="22"/>
        </w:rPr>
        <w:t>science, research and innovation</w:t>
      </w:r>
      <w:r w:rsidR="004D6241">
        <w:rPr>
          <w:sz w:val="22"/>
          <w:szCs w:val="22"/>
        </w:rPr>
        <w:t>, such as through the current National Science and Innovation Agenda</w:t>
      </w:r>
      <w:r w:rsidR="00DC0592" w:rsidRPr="00583050">
        <w:rPr>
          <w:sz w:val="22"/>
          <w:szCs w:val="22"/>
        </w:rPr>
        <w:t>.</w:t>
      </w:r>
      <w:r w:rsidR="00AE635A" w:rsidRPr="00AE635A">
        <w:rPr>
          <w:sz w:val="22"/>
          <w:szCs w:val="22"/>
        </w:rPr>
        <w:t xml:space="preserve"> </w:t>
      </w:r>
      <w:r w:rsidR="003C0EAD">
        <w:rPr>
          <w:sz w:val="22"/>
          <w:szCs w:val="22"/>
        </w:rPr>
        <w:t xml:space="preserve">This means that </w:t>
      </w:r>
      <w:r w:rsidR="00282574">
        <w:rPr>
          <w:sz w:val="22"/>
          <w:szCs w:val="22"/>
        </w:rPr>
        <w:t>the capacity for scientific</w:t>
      </w:r>
      <w:r w:rsidR="003C0EAD">
        <w:rPr>
          <w:sz w:val="22"/>
          <w:szCs w:val="22"/>
        </w:rPr>
        <w:t xml:space="preserve"> and technical </w:t>
      </w:r>
      <w:r w:rsidR="00282574">
        <w:rPr>
          <w:sz w:val="22"/>
          <w:szCs w:val="22"/>
        </w:rPr>
        <w:t xml:space="preserve">advice to further policy design is uncertain, as investment </w:t>
      </w:r>
      <w:r w:rsidR="004D6241">
        <w:rPr>
          <w:sz w:val="22"/>
          <w:szCs w:val="22"/>
        </w:rPr>
        <w:t>priorities</w:t>
      </w:r>
      <w:r w:rsidR="00282574">
        <w:rPr>
          <w:sz w:val="22"/>
          <w:szCs w:val="22"/>
        </w:rPr>
        <w:t xml:space="preserve"> and process</w:t>
      </w:r>
      <w:r w:rsidR="00690B27">
        <w:rPr>
          <w:sz w:val="22"/>
          <w:szCs w:val="22"/>
        </w:rPr>
        <w:t>es</w:t>
      </w:r>
      <w:r w:rsidR="00282574">
        <w:rPr>
          <w:sz w:val="22"/>
          <w:szCs w:val="22"/>
        </w:rPr>
        <w:t xml:space="preserve"> may </w:t>
      </w:r>
      <w:r w:rsidR="001A1629">
        <w:rPr>
          <w:sz w:val="22"/>
          <w:szCs w:val="22"/>
        </w:rPr>
        <w:t>not support the best research as informed by leading science and expertise.</w:t>
      </w:r>
      <w:r w:rsidR="00726880">
        <w:rPr>
          <w:sz w:val="22"/>
          <w:szCs w:val="22"/>
        </w:rPr>
        <w:t xml:space="preserve"> </w:t>
      </w:r>
      <w:r w:rsidR="00690B27">
        <w:rPr>
          <w:sz w:val="22"/>
          <w:szCs w:val="22"/>
        </w:rPr>
        <w:t>P</w:t>
      </w:r>
      <w:r w:rsidR="00726880">
        <w:rPr>
          <w:sz w:val="22"/>
          <w:szCs w:val="22"/>
        </w:rPr>
        <w:t>olicy development benefit</w:t>
      </w:r>
      <w:r w:rsidR="00690B27">
        <w:rPr>
          <w:sz w:val="22"/>
          <w:szCs w:val="22"/>
        </w:rPr>
        <w:t>s</w:t>
      </w:r>
      <w:r w:rsidR="00726880">
        <w:rPr>
          <w:sz w:val="22"/>
          <w:szCs w:val="22"/>
        </w:rPr>
        <w:t xml:space="preserve"> when</w:t>
      </w:r>
      <w:r w:rsidR="001A1629">
        <w:rPr>
          <w:sz w:val="22"/>
          <w:szCs w:val="22"/>
        </w:rPr>
        <w:t xml:space="preserve"> </w:t>
      </w:r>
      <w:r w:rsidR="00690B27">
        <w:rPr>
          <w:sz w:val="22"/>
          <w:szCs w:val="22"/>
        </w:rPr>
        <w:t xml:space="preserve">it is </w:t>
      </w:r>
      <w:r w:rsidR="00726880">
        <w:rPr>
          <w:sz w:val="22"/>
          <w:szCs w:val="22"/>
        </w:rPr>
        <w:t xml:space="preserve">informed </w:t>
      </w:r>
      <w:r w:rsidR="00690B27">
        <w:rPr>
          <w:sz w:val="22"/>
          <w:szCs w:val="22"/>
        </w:rPr>
        <w:t>by science and the science community</w:t>
      </w:r>
      <w:r w:rsidR="00AE635A" w:rsidRPr="00AE635A">
        <w:rPr>
          <w:sz w:val="22"/>
          <w:szCs w:val="22"/>
        </w:rPr>
        <w:t>.</w:t>
      </w:r>
    </w:p>
    <w:p w14:paraId="7A6DBC2E" w14:textId="20EF0C50" w:rsidR="00AE635A" w:rsidRDefault="00AE635A" w:rsidP="001A1629">
      <w:pPr>
        <w:rPr>
          <w:sz w:val="22"/>
          <w:szCs w:val="22"/>
        </w:rPr>
      </w:pPr>
    </w:p>
    <w:p w14:paraId="50480681" w14:textId="39C9BC61" w:rsidR="00726880" w:rsidRDefault="005138AC" w:rsidP="001A1629">
      <w:pPr>
        <w:rPr>
          <w:sz w:val="22"/>
          <w:szCs w:val="22"/>
        </w:rPr>
      </w:pPr>
      <w:r>
        <w:rPr>
          <w:b/>
          <w:bCs/>
          <w:sz w:val="22"/>
          <w:szCs w:val="22"/>
        </w:rPr>
        <w:t xml:space="preserve">There is a </w:t>
      </w:r>
      <w:r w:rsidR="008D10EC">
        <w:rPr>
          <w:b/>
          <w:bCs/>
          <w:sz w:val="22"/>
          <w:szCs w:val="22"/>
        </w:rPr>
        <w:t>level of i</w:t>
      </w:r>
      <w:r w:rsidR="00DC0592" w:rsidRPr="00583050">
        <w:rPr>
          <w:b/>
          <w:bCs/>
          <w:sz w:val="22"/>
          <w:szCs w:val="22"/>
        </w:rPr>
        <w:t>ncoherence in organisational and governance structures:</w:t>
      </w:r>
      <w:r w:rsidR="00DC0592" w:rsidRPr="00583050">
        <w:rPr>
          <w:sz w:val="22"/>
          <w:szCs w:val="22"/>
        </w:rPr>
        <w:t xml:space="preserve">  </w:t>
      </w:r>
    </w:p>
    <w:p w14:paraId="0DE84E2D" w14:textId="2CD31D19" w:rsidR="00AE635A" w:rsidRDefault="00690B27" w:rsidP="00726880">
      <w:pPr>
        <w:rPr>
          <w:sz w:val="22"/>
          <w:szCs w:val="22"/>
        </w:rPr>
      </w:pPr>
      <w:r>
        <w:rPr>
          <w:sz w:val="22"/>
          <w:szCs w:val="22"/>
        </w:rPr>
        <w:t>The Current p</w:t>
      </w:r>
      <w:r w:rsidR="00DC0592" w:rsidRPr="00583050">
        <w:rPr>
          <w:sz w:val="22"/>
          <w:szCs w:val="22"/>
        </w:rPr>
        <w:t xml:space="preserve">olicy architecture for science, research and innovation is fragmented across departments and agencies, and competitive dynamics are often misaligned across the system. Current division between Competitive Funding Agencies (ARC/NHMRC), Government Science Agencies (CSIRO/BOM/ANSTO) and Research Block Grants (support for research in universities, RTP/RSP) </w:t>
      </w:r>
      <w:r>
        <w:rPr>
          <w:sz w:val="22"/>
          <w:szCs w:val="22"/>
        </w:rPr>
        <w:t xml:space="preserve">often </w:t>
      </w:r>
      <w:r w:rsidR="00DC0592" w:rsidRPr="00583050">
        <w:rPr>
          <w:sz w:val="22"/>
          <w:szCs w:val="22"/>
        </w:rPr>
        <w:t>lacks coherence</w:t>
      </w:r>
      <w:r>
        <w:rPr>
          <w:sz w:val="22"/>
          <w:szCs w:val="22"/>
        </w:rPr>
        <w:t>, such that it is unable to effectively meet industry</w:t>
      </w:r>
      <w:r w:rsidR="00F36979">
        <w:rPr>
          <w:sz w:val="22"/>
          <w:szCs w:val="22"/>
        </w:rPr>
        <w:t>, government and community</w:t>
      </w:r>
      <w:r>
        <w:rPr>
          <w:sz w:val="22"/>
          <w:szCs w:val="22"/>
        </w:rPr>
        <w:t xml:space="preserve"> needs while ensuring </w:t>
      </w:r>
      <w:r w:rsidR="00F36979">
        <w:rPr>
          <w:sz w:val="22"/>
          <w:szCs w:val="22"/>
        </w:rPr>
        <w:t xml:space="preserve">current </w:t>
      </w:r>
      <w:r w:rsidR="007F3C4C">
        <w:rPr>
          <w:sz w:val="22"/>
          <w:szCs w:val="22"/>
        </w:rPr>
        <w:t xml:space="preserve">capacity is maintained </w:t>
      </w:r>
      <w:r w:rsidR="00F36979">
        <w:rPr>
          <w:sz w:val="22"/>
          <w:szCs w:val="22"/>
        </w:rPr>
        <w:t xml:space="preserve">and strengthened </w:t>
      </w:r>
      <w:r w:rsidR="007F3C4C">
        <w:rPr>
          <w:sz w:val="22"/>
          <w:szCs w:val="22"/>
        </w:rPr>
        <w:t>across the system</w:t>
      </w:r>
      <w:r w:rsidR="00F36979">
        <w:rPr>
          <w:sz w:val="22"/>
          <w:szCs w:val="22"/>
        </w:rPr>
        <w:t>.</w:t>
      </w:r>
    </w:p>
    <w:p w14:paraId="210279DE" w14:textId="5F039A08" w:rsidR="004A1731" w:rsidRDefault="004A1731" w:rsidP="00583050">
      <w:pPr>
        <w:rPr>
          <w:sz w:val="22"/>
          <w:szCs w:val="22"/>
        </w:rPr>
      </w:pPr>
    </w:p>
    <w:p w14:paraId="5114813E" w14:textId="78BBDAAF" w:rsidR="001375DD" w:rsidRPr="00996282" w:rsidRDefault="005138AC" w:rsidP="001375DD">
      <w:pPr>
        <w:rPr>
          <w:b/>
          <w:bCs/>
          <w:sz w:val="22"/>
          <w:szCs w:val="22"/>
        </w:rPr>
      </w:pPr>
      <w:r>
        <w:rPr>
          <w:b/>
          <w:bCs/>
          <w:sz w:val="22"/>
          <w:szCs w:val="22"/>
        </w:rPr>
        <w:t>P</w:t>
      </w:r>
      <w:r w:rsidR="001375DD" w:rsidRPr="00996282">
        <w:rPr>
          <w:b/>
          <w:bCs/>
          <w:sz w:val="22"/>
          <w:szCs w:val="22"/>
        </w:rPr>
        <w:t>ublic investment</w:t>
      </w:r>
      <w:r>
        <w:rPr>
          <w:b/>
          <w:bCs/>
          <w:sz w:val="22"/>
          <w:szCs w:val="22"/>
        </w:rPr>
        <w:t xml:space="preserve"> is increasingly </w:t>
      </w:r>
      <w:r w:rsidRPr="00996282">
        <w:rPr>
          <w:b/>
          <w:bCs/>
          <w:sz w:val="22"/>
          <w:szCs w:val="22"/>
        </w:rPr>
        <w:t>misaligned</w:t>
      </w:r>
      <w:r w:rsidR="001375DD">
        <w:rPr>
          <w:b/>
          <w:bCs/>
          <w:sz w:val="22"/>
          <w:szCs w:val="22"/>
        </w:rPr>
        <w:t>:</w:t>
      </w:r>
    </w:p>
    <w:p w14:paraId="1AAEF8E6" w14:textId="64027EFE" w:rsidR="001375DD" w:rsidRPr="009578F3" w:rsidRDefault="001375DD" w:rsidP="001375DD">
      <w:pPr>
        <w:rPr>
          <w:sz w:val="22"/>
          <w:szCs w:val="22"/>
        </w:rPr>
      </w:pPr>
      <w:r>
        <w:rPr>
          <w:sz w:val="22"/>
          <w:szCs w:val="22"/>
        </w:rPr>
        <w:t xml:space="preserve">Australia has traditionally had a thriving science and innovation community, which has benefited from strong public commitment and investment.  This is at risk compared to leading international systems, most strikingly </w:t>
      </w:r>
      <w:r w:rsidR="0005309F">
        <w:rPr>
          <w:sz w:val="22"/>
          <w:szCs w:val="22"/>
        </w:rPr>
        <w:t>shown when compared to the US.</w:t>
      </w:r>
      <w:r>
        <w:rPr>
          <w:sz w:val="22"/>
          <w:szCs w:val="22"/>
        </w:rPr>
        <w:t xml:space="preserve"> While larger, the US has achieved much of its success because it invests a greater proportion of discretionary </w:t>
      </w:r>
      <w:r w:rsidR="0005309F">
        <w:rPr>
          <w:sz w:val="22"/>
          <w:szCs w:val="22"/>
        </w:rPr>
        <w:t xml:space="preserve">public </w:t>
      </w:r>
      <w:r>
        <w:rPr>
          <w:sz w:val="22"/>
          <w:szCs w:val="22"/>
        </w:rPr>
        <w:t xml:space="preserve">funding </w:t>
      </w:r>
      <w:r w:rsidR="0005309F">
        <w:rPr>
          <w:sz w:val="22"/>
          <w:szCs w:val="22"/>
        </w:rPr>
        <w:t xml:space="preserve">(US Federal Government) </w:t>
      </w:r>
      <w:r>
        <w:rPr>
          <w:sz w:val="22"/>
          <w:szCs w:val="22"/>
        </w:rPr>
        <w:t>in science, research and innovation, as figure 1 demonstrates.</w:t>
      </w:r>
      <w:r w:rsidR="00A223B1">
        <w:rPr>
          <w:sz w:val="22"/>
          <w:szCs w:val="22"/>
        </w:rPr>
        <w:t xml:space="preserve"> Australia needs to increase its public inves</w:t>
      </w:r>
      <w:r w:rsidR="00662D3A">
        <w:rPr>
          <w:sz w:val="22"/>
          <w:szCs w:val="22"/>
        </w:rPr>
        <w:t xml:space="preserve">tment in science and innovation to achieve a similar </w:t>
      </w:r>
      <w:r w:rsidR="0005309F">
        <w:rPr>
          <w:sz w:val="22"/>
          <w:szCs w:val="22"/>
        </w:rPr>
        <w:t>depth</w:t>
      </w:r>
      <w:r w:rsidR="00662D3A">
        <w:rPr>
          <w:sz w:val="22"/>
          <w:szCs w:val="22"/>
        </w:rPr>
        <w:t xml:space="preserve"> of commitment.</w:t>
      </w:r>
    </w:p>
    <w:p w14:paraId="458F4D12" w14:textId="77777777" w:rsidR="001375DD" w:rsidRPr="009578F3" w:rsidRDefault="001375DD" w:rsidP="001375DD">
      <w:pPr>
        <w:rPr>
          <w:sz w:val="22"/>
          <w:szCs w:val="22"/>
        </w:rPr>
      </w:pPr>
    </w:p>
    <w:p w14:paraId="258C8A40" w14:textId="39D33A7A" w:rsidR="001375DD" w:rsidRDefault="001375DD" w:rsidP="001375DD">
      <w:pPr>
        <w:pStyle w:val="Caption"/>
        <w:keepNext/>
      </w:pPr>
      <w:r>
        <w:lastRenderedPageBreak/>
        <w:t xml:space="preserve">Figure </w:t>
      </w:r>
      <w:r>
        <w:fldChar w:fldCharType="begin"/>
      </w:r>
      <w:r>
        <w:instrText xml:space="preserve"> SEQ Figure \* ARABIC </w:instrText>
      </w:r>
      <w:r>
        <w:fldChar w:fldCharType="separate"/>
      </w:r>
      <w:r>
        <w:rPr>
          <w:noProof/>
        </w:rPr>
        <w:t>1</w:t>
      </w:r>
      <w:r>
        <w:fldChar w:fldCharType="end"/>
      </w:r>
      <w:r>
        <w:t xml:space="preserve">: </w:t>
      </w:r>
      <w:r w:rsidRPr="0069564C">
        <w:t>P</w:t>
      </w:r>
      <w:r>
        <w:t xml:space="preserve">roportion of discretionary (excludes </w:t>
      </w:r>
      <w:r w:rsidRPr="0069564C">
        <w:t>health and welfare) direct government expenditure on R&amp;D, Australia and US, 1998 to 2017</w:t>
      </w:r>
    </w:p>
    <w:p w14:paraId="1BA08382" w14:textId="77777777" w:rsidR="001375DD" w:rsidRPr="009578F3" w:rsidRDefault="001375DD" w:rsidP="001375DD">
      <w:pPr>
        <w:rPr>
          <w:sz w:val="22"/>
          <w:szCs w:val="22"/>
        </w:rPr>
      </w:pPr>
      <w:r w:rsidRPr="009578F3">
        <w:rPr>
          <w:noProof/>
          <w:sz w:val="22"/>
          <w:szCs w:val="22"/>
          <w:lang w:val="en-GB" w:eastAsia="en-GB"/>
        </w:rPr>
        <w:drawing>
          <wp:inline distT="0" distB="0" distL="0" distR="0" wp14:anchorId="2153A4BD" wp14:editId="20E3BC75">
            <wp:extent cx="5701229" cy="2655065"/>
            <wp:effectExtent l="0" t="0" r="13970" b="12065"/>
            <wp:docPr id="1" name="Chart 1">
              <a:extLst xmlns:a="http://schemas.openxmlformats.org/drawingml/2006/main">
                <a:ext uri="{FF2B5EF4-FFF2-40B4-BE49-F238E27FC236}">
                  <a16:creationId xmlns:a16="http://schemas.microsoft.com/office/drawing/2014/main" id="{0023E2F1-9722-DC4F-8C4C-01EB3BB66E7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77E1C5ED" w14:textId="77777777" w:rsidR="001375DD" w:rsidRPr="009578F3" w:rsidRDefault="001375DD" w:rsidP="001375DD">
      <w:pPr>
        <w:rPr>
          <w:sz w:val="22"/>
          <w:szCs w:val="22"/>
        </w:rPr>
      </w:pPr>
    </w:p>
    <w:p w14:paraId="2B72FBAD" w14:textId="0E4F2018" w:rsidR="001375DD" w:rsidRPr="009578F3" w:rsidRDefault="001375DD" w:rsidP="001375DD">
      <w:pPr>
        <w:rPr>
          <w:sz w:val="22"/>
          <w:szCs w:val="22"/>
        </w:rPr>
      </w:pPr>
      <w:r>
        <w:rPr>
          <w:sz w:val="22"/>
          <w:szCs w:val="22"/>
        </w:rPr>
        <w:t>In recent years, Australia has invested much additional funding in tax offsets, but not in its science agencies, as figure 2 illustrates.</w:t>
      </w:r>
      <w:r w:rsidRPr="0025495F">
        <w:rPr>
          <w:sz w:val="22"/>
          <w:szCs w:val="22"/>
        </w:rPr>
        <w:t xml:space="preserve"> </w:t>
      </w:r>
      <w:r>
        <w:rPr>
          <w:sz w:val="22"/>
          <w:szCs w:val="22"/>
        </w:rPr>
        <w:t xml:space="preserve">As the SRI data </w:t>
      </w:r>
      <w:r w:rsidR="0005309F">
        <w:rPr>
          <w:sz w:val="22"/>
          <w:szCs w:val="22"/>
        </w:rPr>
        <w:t>shows</w:t>
      </w:r>
      <w:r>
        <w:rPr>
          <w:sz w:val="22"/>
          <w:szCs w:val="22"/>
        </w:rPr>
        <w:t xml:space="preserve">, </w:t>
      </w:r>
      <w:r w:rsidR="0092671B">
        <w:rPr>
          <w:sz w:val="22"/>
          <w:szCs w:val="22"/>
        </w:rPr>
        <w:t xml:space="preserve">government investment in </w:t>
      </w:r>
      <w:r w:rsidRPr="009578F3">
        <w:rPr>
          <w:sz w:val="22"/>
          <w:szCs w:val="22"/>
        </w:rPr>
        <w:t xml:space="preserve">R&amp;D </w:t>
      </w:r>
      <w:r w:rsidR="0092671B">
        <w:rPr>
          <w:sz w:val="22"/>
          <w:szCs w:val="22"/>
        </w:rPr>
        <w:t xml:space="preserve">tax measures </w:t>
      </w:r>
      <w:r w:rsidRPr="009578F3">
        <w:rPr>
          <w:sz w:val="22"/>
          <w:szCs w:val="22"/>
        </w:rPr>
        <w:t xml:space="preserve">has grown in real terms while government funded science agencies </w:t>
      </w:r>
      <w:r w:rsidR="0005309F">
        <w:rPr>
          <w:sz w:val="22"/>
          <w:szCs w:val="22"/>
        </w:rPr>
        <w:t xml:space="preserve">have </w:t>
      </w:r>
      <w:r w:rsidRPr="009578F3">
        <w:rPr>
          <w:sz w:val="22"/>
          <w:szCs w:val="22"/>
        </w:rPr>
        <w:t xml:space="preserve">remained flat since the </w:t>
      </w:r>
      <w:r w:rsidR="0005309F">
        <w:rPr>
          <w:sz w:val="22"/>
          <w:szCs w:val="22"/>
        </w:rPr>
        <w:t xml:space="preserve">late </w:t>
      </w:r>
      <w:r w:rsidRPr="009578F3">
        <w:rPr>
          <w:sz w:val="22"/>
          <w:szCs w:val="22"/>
        </w:rPr>
        <w:t>1970s.</w:t>
      </w:r>
      <w:r w:rsidR="0092671B">
        <w:rPr>
          <w:sz w:val="22"/>
          <w:szCs w:val="22"/>
        </w:rPr>
        <w:t xml:space="preserve"> The Australian Government has </w:t>
      </w:r>
      <w:r w:rsidR="0005309F">
        <w:rPr>
          <w:sz w:val="22"/>
          <w:szCs w:val="22"/>
        </w:rPr>
        <w:t xml:space="preserve">recently </w:t>
      </w:r>
      <w:r w:rsidR="0092671B">
        <w:rPr>
          <w:sz w:val="22"/>
          <w:szCs w:val="22"/>
        </w:rPr>
        <w:t xml:space="preserve">grown investment in the </w:t>
      </w:r>
      <w:r w:rsidR="0092671B" w:rsidRPr="0092671B">
        <w:rPr>
          <w:sz w:val="22"/>
          <w:szCs w:val="22"/>
        </w:rPr>
        <w:t xml:space="preserve">Medical Research Future </w:t>
      </w:r>
      <w:r w:rsidR="0005309F" w:rsidRPr="0092671B">
        <w:rPr>
          <w:sz w:val="22"/>
          <w:szCs w:val="22"/>
        </w:rPr>
        <w:t>Fund,</w:t>
      </w:r>
      <w:r w:rsidR="0092671B" w:rsidRPr="0092671B">
        <w:rPr>
          <w:sz w:val="22"/>
          <w:szCs w:val="22"/>
        </w:rPr>
        <w:t xml:space="preserve"> </w:t>
      </w:r>
      <w:r w:rsidR="0092671B">
        <w:rPr>
          <w:sz w:val="22"/>
          <w:szCs w:val="22"/>
        </w:rPr>
        <w:t xml:space="preserve">but it </w:t>
      </w:r>
      <w:r w:rsidR="00A223B1">
        <w:rPr>
          <w:sz w:val="22"/>
          <w:szCs w:val="22"/>
        </w:rPr>
        <w:t xml:space="preserve">needs to continue to </w:t>
      </w:r>
      <w:r w:rsidR="0092671B">
        <w:rPr>
          <w:sz w:val="22"/>
          <w:szCs w:val="22"/>
        </w:rPr>
        <w:t xml:space="preserve">increase direct funding for </w:t>
      </w:r>
      <w:r w:rsidR="00A223B1">
        <w:rPr>
          <w:sz w:val="22"/>
          <w:szCs w:val="22"/>
        </w:rPr>
        <w:t>science and research</w:t>
      </w:r>
      <w:r w:rsidR="00844976">
        <w:rPr>
          <w:sz w:val="22"/>
          <w:szCs w:val="22"/>
        </w:rPr>
        <w:t xml:space="preserve">, including </w:t>
      </w:r>
      <w:r w:rsidR="001215E0">
        <w:rPr>
          <w:sz w:val="22"/>
          <w:szCs w:val="22"/>
        </w:rPr>
        <w:t>through</w:t>
      </w:r>
      <w:r w:rsidR="00844976">
        <w:rPr>
          <w:sz w:val="22"/>
          <w:szCs w:val="22"/>
        </w:rPr>
        <w:t xml:space="preserve"> its science agencies.</w:t>
      </w:r>
    </w:p>
    <w:p w14:paraId="752DE8F2" w14:textId="77777777" w:rsidR="001375DD" w:rsidRPr="009578F3" w:rsidRDefault="001375DD" w:rsidP="001375DD">
      <w:pPr>
        <w:rPr>
          <w:sz w:val="22"/>
          <w:szCs w:val="22"/>
        </w:rPr>
      </w:pPr>
    </w:p>
    <w:p w14:paraId="7D4E8897" w14:textId="77777777" w:rsidR="001375DD" w:rsidRPr="009578F3" w:rsidRDefault="001375DD" w:rsidP="001375DD">
      <w:pPr>
        <w:rPr>
          <w:sz w:val="22"/>
          <w:szCs w:val="22"/>
        </w:rPr>
      </w:pPr>
    </w:p>
    <w:p w14:paraId="48DB12A6" w14:textId="3A9ADE91" w:rsidR="001375DD" w:rsidRDefault="001375DD" w:rsidP="001375DD">
      <w:pPr>
        <w:pStyle w:val="Caption"/>
        <w:keepNext/>
      </w:pPr>
      <w:r>
        <w:t xml:space="preserve">Figure </w:t>
      </w:r>
      <w:r>
        <w:fldChar w:fldCharType="begin"/>
      </w:r>
      <w:r>
        <w:instrText xml:space="preserve"> SEQ Figure \* ARABIC </w:instrText>
      </w:r>
      <w:r>
        <w:fldChar w:fldCharType="separate"/>
      </w:r>
      <w:r>
        <w:rPr>
          <w:noProof/>
        </w:rPr>
        <w:t>2</w:t>
      </w:r>
      <w:r>
        <w:fldChar w:fldCharType="end"/>
      </w:r>
      <w:r>
        <w:t xml:space="preserve">: </w:t>
      </w:r>
      <w:r w:rsidRPr="00D25551">
        <w:t>Government funding for selected R&amp;D activities, 2016 inflation adjusted dollars</w:t>
      </w:r>
      <w:r w:rsidR="00B05741">
        <w:t xml:space="preserve"> (source SRI tables)</w:t>
      </w:r>
    </w:p>
    <w:p w14:paraId="176745A5" w14:textId="77777777" w:rsidR="001375DD" w:rsidRPr="009578F3" w:rsidRDefault="001375DD" w:rsidP="001375DD">
      <w:pPr>
        <w:rPr>
          <w:sz w:val="22"/>
          <w:szCs w:val="22"/>
        </w:rPr>
      </w:pPr>
      <w:r w:rsidRPr="009578F3">
        <w:rPr>
          <w:noProof/>
          <w:sz w:val="22"/>
          <w:szCs w:val="22"/>
          <w:lang w:val="en-GB" w:eastAsia="en-GB"/>
        </w:rPr>
        <w:drawing>
          <wp:inline distT="0" distB="0" distL="0" distR="0" wp14:anchorId="5BC18727" wp14:editId="2A6ADB48">
            <wp:extent cx="5694744" cy="2505919"/>
            <wp:effectExtent l="0" t="0" r="7620" b="8890"/>
            <wp:docPr id="2" name="Chart 2">
              <a:extLst xmlns:a="http://schemas.openxmlformats.org/drawingml/2006/main">
                <a:ext uri="{FF2B5EF4-FFF2-40B4-BE49-F238E27FC236}">
                  <a16:creationId xmlns:a16="http://schemas.microsoft.com/office/drawing/2014/main" id="{EF13FA03-D4A2-704B-BBF9-484D743A343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6FE78E86" w14:textId="77777777" w:rsidR="001375DD" w:rsidRDefault="001375DD" w:rsidP="001375DD">
      <w:pPr>
        <w:rPr>
          <w:sz w:val="22"/>
          <w:szCs w:val="22"/>
        </w:rPr>
      </w:pPr>
    </w:p>
    <w:p w14:paraId="2AA8D240" w14:textId="08B7FCCF" w:rsidR="0025495F" w:rsidRDefault="0025495F">
      <w:pPr>
        <w:rPr>
          <w:b/>
          <w:bCs/>
          <w:sz w:val="28"/>
          <w:szCs w:val="28"/>
        </w:rPr>
      </w:pPr>
    </w:p>
    <w:p w14:paraId="492EB6FB" w14:textId="77777777" w:rsidR="00844976" w:rsidRDefault="00844976">
      <w:pPr>
        <w:rPr>
          <w:b/>
          <w:bCs/>
          <w:sz w:val="28"/>
          <w:szCs w:val="28"/>
        </w:rPr>
      </w:pPr>
      <w:r>
        <w:rPr>
          <w:b/>
          <w:bCs/>
          <w:sz w:val="28"/>
          <w:szCs w:val="28"/>
        </w:rPr>
        <w:br w:type="page"/>
      </w:r>
    </w:p>
    <w:p w14:paraId="57F16C8B" w14:textId="70AF854D" w:rsidR="00583050" w:rsidRPr="00AE635A" w:rsidRDefault="004A1731" w:rsidP="004A1731">
      <w:pPr>
        <w:rPr>
          <w:b/>
          <w:bCs/>
          <w:sz w:val="28"/>
          <w:szCs w:val="28"/>
        </w:rPr>
      </w:pPr>
      <w:r>
        <w:rPr>
          <w:b/>
          <w:bCs/>
          <w:sz w:val="28"/>
          <w:szCs w:val="28"/>
        </w:rPr>
        <w:lastRenderedPageBreak/>
        <w:t>Additional c</w:t>
      </w:r>
      <w:r w:rsidR="00583050" w:rsidRPr="00AE635A">
        <w:rPr>
          <w:b/>
          <w:bCs/>
          <w:sz w:val="28"/>
          <w:szCs w:val="28"/>
        </w:rPr>
        <w:t>onsiderations</w:t>
      </w:r>
      <w:r w:rsidR="0013109D">
        <w:rPr>
          <w:b/>
          <w:bCs/>
          <w:sz w:val="28"/>
          <w:szCs w:val="28"/>
        </w:rPr>
        <w:t xml:space="preserve"> for the R</w:t>
      </w:r>
      <w:r>
        <w:rPr>
          <w:b/>
          <w:bCs/>
          <w:sz w:val="28"/>
          <w:szCs w:val="28"/>
        </w:rPr>
        <w:t>eview</w:t>
      </w:r>
      <w:r w:rsidR="005D0571">
        <w:rPr>
          <w:b/>
          <w:bCs/>
          <w:sz w:val="28"/>
          <w:szCs w:val="28"/>
        </w:rPr>
        <w:t xml:space="preserve"> related to science, research and innovation</w:t>
      </w:r>
    </w:p>
    <w:p w14:paraId="528241C7" w14:textId="1D7F584D" w:rsidR="00583050" w:rsidRPr="00E7721F" w:rsidRDefault="00583050" w:rsidP="00E7721F">
      <w:pPr>
        <w:rPr>
          <w:sz w:val="22"/>
          <w:szCs w:val="22"/>
        </w:rPr>
      </w:pPr>
      <w:r>
        <w:rPr>
          <w:sz w:val="22"/>
          <w:szCs w:val="22"/>
        </w:rPr>
        <w:t xml:space="preserve">There are additional considerations the </w:t>
      </w:r>
      <w:r w:rsidR="00E7721F">
        <w:rPr>
          <w:sz w:val="22"/>
          <w:szCs w:val="22"/>
        </w:rPr>
        <w:t>Review might consider, as follows:</w:t>
      </w:r>
    </w:p>
    <w:p w14:paraId="6A224994" w14:textId="77777777" w:rsidR="00583050" w:rsidRPr="009578F3" w:rsidRDefault="00583050" w:rsidP="00583050">
      <w:pPr>
        <w:pStyle w:val="ListParagraph"/>
        <w:ind w:left="360"/>
        <w:rPr>
          <w:sz w:val="22"/>
          <w:szCs w:val="22"/>
        </w:rPr>
      </w:pPr>
    </w:p>
    <w:p w14:paraId="406DAE3F" w14:textId="4D11423B" w:rsidR="00583050" w:rsidRPr="009578F3" w:rsidRDefault="00583050" w:rsidP="00583050">
      <w:pPr>
        <w:pStyle w:val="ListParagraph"/>
        <w:numPr>
          <w:ilvl w:val="0"/>
          <w:numId w:val="11"/>
        </w:numPr>
        <w:rPr>
          <w:sz w:val="22"/>
          <w:szCs w:val="22"/>
        </w:rPr>
      </w:pPr>
      <w:r>
        <w:rPr>
          <w:b/>
          <w:bCs/>
          <w:sz w:val="22"/>
          <w:szCs w:val="22"/>
        </w:rPr>
        <w:t>Inde</w:t>
      </w:r>
      <w:r w:rsidRPr="009578F3">
        <w:rPr>
          <w:b/>
          <w:bCs/>
          <w:sz w:val="22"/>
          <w:szCs w:val="22"/>
        </w:rPr>
        <w:t>pendence:</w:t>
      </w:r>
      <w:r w:rsidRPr="009578F3">
        <w:rPr>
          <w:sz w:val="22"/>
          <w:szCs w:val="22"/>
        </w:rPr>
        <w:t xml:space="preserve"> </w:t>
      </w:r>
      <w:r w:rsidR="00E7721F">
        <w:rPr>
          <w:sz w:val="22"/>
          <w:szCs w:val="22"/>
        </w:rPr>
        <w:t xml:space="preserve">Consider </w:t>
      </w:r>
      <w:r w:rsidRPr="009578F3">
        <w:rPr>
          <w:sz w:val="22"/>
          <w:szCs w:val="22"/>
        </w:rPr>
        <w:t>whether or not relevant science functions should be performed and seen to be performed in a day to day sense independently of a government and minister and of party-political influence, as well as to ensure this is not inconsistent with a provision which gives the minister a reserve power of direction.</w:t>
      </w:r>
    </w:p>
    <w:p w14:paraId="4AC28DEA" w14:textId="77777777" w:rsidR="00583050" w:rsidRPr="009578F3" w:rsidRDefault="00583050" w:rsidP="00583050">
      <w:pPr>
        <w:rPr>
          <w:sz w:val="22"/>
          <w:szCs w:val="22"/>
        </w:rPr>
      </w:pPr>
    </w:p>
    <w:p w14:paraId="24CB1A7C" w14:textId="34113DAC" w:rsidR="00583050" w:rsidRDefault="00583050" w:rsidP="00583050">
      <w:pPr>
        <w:pStyle w:val="ListParagraph"/>
        <w:numPr>
          <w:ilvl w:val="0"/>
          <w:numId w:val="11"/>
        </w:numPr>
        <w:rPr>
          <w:sz w:val="22"/>
          <w:szCs w:val="22"/>
        </w:rPr>
      </w:pPr>
      <w:r w:rsidRPr="009578F3">
        <w:rPr>
          <w:b/>
          <w:bCs/>
          <w:sz w:val="22"/>
          <w:szCs w:val="22"/>
        </w:rPr>
        <w:t xml:space="preserve">Processes: </w:t>
      </w:r>
      <w:r w:rsidRPr="009578F3">
        <w:rPr>
          <w:sz w:val="22"/>
          <w:szCs w:val="22"/>
        </w:rPr>
        <w:t>Examine processes and interactions between different agencies and public, government and APS, such that structures ensure that procedures for defining objectives and identifying areas requiring scientific investigation or technical development as done so by experts</w:t>
      </w:r>
      <w:r w:rsidR="00F21270">
        <w:rPr>
          <w:sz w:val="22"/>
          <w:szCs w:val="22"/>
        </w:rPr>
        <w:t xml:space="preserve"> and that there is appropriate mechanism in place that ensure </w:t>
      </w:r>
      <w:r w:rsidR="003802E4">
        <w:rPr>
          <w:sz w:val="22"/>
          <w:szCs w:val="22"/>
        </w:rPr>
        <w:t>evidence-based</w:t>
      </w:r>
      <w:r w:rsidR="00F21270">
        <w:rPr>
          <w:sz w:val="22"/>
          <w:szCs w:val="22"/>
        </w:rPr>
        <w:t xml:space="preserve"> policy design</w:t>
      </w:r>
      <w:r w:rsidRPr="009578F3">
        <w:rPr>
          <w:sz w:val="22"/>
          <w:szCs w:val="22"/>
        </w:rPr>
        <w:t>.</w:t>
      </w:r>
    </w:p>
    <w:p w14:paraId="63A4D580" w14:textId="77777777" w:rsidR="009D1D22" w:rsidRPr="009D1D22" w:rsidRDefault="009D1D22" w:rsidP="009D1D22">
      <w:pPr>
        <w:pStyle w:val="ListParagraph"/>
        <w:rPr>
          <w:sz w:val="22"/>
          <w:szCs w:val="22"/>
        </w:rPr>
      </w:pPr>
    </w:p>
    <w:p w14:paraId="18828E96" w14:textId="62E22656" w:rsidR="009D1D22" w:rsidRPr="000E3BA6" w:rsidRDefault="004E5F9E" w:rsidP="00583050">
      <w:pPr>
        <w:pStyle w:val="ListParagraph"/>
        <w:numPr>
          <w:ilvl w:val="0"/>
          <w:numId w:val="11"/>
        </w:numPr>
        <w:rPr>
          <w:b/>
          <w:bCs/>
          <w:sz w:val="22"/>
          <w:szCs w:val="22"/>
        </w:rPr>
      </w:pPr>
      <w:r w:rsidRPr="000E3BA6">
        <w:rPr>
          <w:b/>
          <w:bCs/>
          <w:sz w:val="22"/>
          <w:szCs w:val="22"/>
        </w:rPr>
        <w:t>International</w:t>
      </w:r>
      <w:r w:rsidR="00CE0375">
        <w:rPr>
          <w:b/>
          <w:bCs/>
          <w:sz w:val="22"/>
          <w:szCs w:val="22"/>
        </w:rPr>
        <w:t>ised</w:t>
      </w:r>
      <w:r w:rsidR="000E3BA6">
        <w:rPr>
          <w:b/>
          <w:bCs/>
          <w:sz w:val="22"/>
          <w:szCs w:val="22"/>
        </w:rPr>
        <w:t>:</w:t>
      </w:r>
      <w:r w:rsidRPr="000E3BA6">
        <w:rPr>
          <w:b/>
          <w:bCs/>
          <w:sz w:val="22"/>
          <w:szCs w:val="22"/>
        </w:rPr>
        <w:t xml:space="preserve"> </w:t>
      </w:r>
      <w:r w:rsidR="00CE0375">
        <w:rPr>
          <w:sz w:val="22"/>
          <w:szCs w:val="22"/>
        </w:rPr>
        <w:t xml:space="preserve">Explore major national level </w:t>
      </w:r>
      <w:r w:rsidR="00E538B0">
        <w:rPr>
          <w:sz w:val="22"/>
          <w:szCs w:val="22"/>
        </w:rPr>
        <w:t>international opportunities, such as the possibility of</w:t>
      </w:r>
      <w:r w:rsidR="00CE0375">
        <w:rPr>
          <w:sz w:val="22"/>
          <w:szCs w:val="22"/>
        </w:rPr>
        <w:t xml:space="preserve"> </w:t>
      </w:r>
      <w:r w:rsidR="00E538B0">
        <w:rPr>
          <w:sz w:val="22"/>
          <w:szCs w:val="22"/>
        </w:rPr>
        <w:t xml:space="preserve">Australia participating in </w:t>
      </w:r>
      <w:r w:rsidR="000E3BA6" w:rsidRPr="000E3BA6">
        <w:rPr>
          <w:sz w:val="22"/>
          <w:szCs w:val="22"/>
        </w:rPr>
        <w:t xml:space="preserve">Horizon </w:t>
      </w:r>
      <w:r w:rsidR="00E538B0">
        <w:rPr>
          <w:sz w:val="22"/>
          <w:szCs w:val="22"/>
        </w:rPr>
        <w:t xml:space="preserve">Europe through subscription </w:t>
      </w:r>
      <w:r w:rsidR="00C51E9F">
        <w:rPr>
          <w:sz w:val="22"/>
          <w:szCs w:val="22"/>
        </w:rPr>
        <w:t xml:space="preserve">to the </w:t>
      </w:r>
      <w:r w:rsidR="00762924">
        <w:rPr>
          <w:sz w:val="22"/>
          <w:szCs w:val="22"/>
        </w:rPr>
        <w:t>initiative</w:t>
      </w:r>
      <w:r w:rsidR="00C51E9F">
        <w:rPr>
          <w:sz w:val="22"/>
          <w:szCs w:val="22"/>
        </w:rPr>
        <w:t xml:space="preserve"> so as </w:t>
      </w:r>
      <w:r w:rsidR="00E538B0">
        <w:rPr>
          <w:sz w:val="22"/>
          <w:szCs w:val="22"/>
        </w:rPr>
        <w:t>to leverage new prospects for collaboration and funding.</w:t>
      </w:r>
    </w:p>
    <w:p w14:paraId="1EC3BDAC" w14:textId="77777777" w:rsidR="00583050" w:rsidRPr="009578F3" w:rsidRDefault="00583050" w:rsidP="00583050">
      <w:pPr>
        <w:rPr>
          <w:sz w:val="22"/>
          <w:szCs w:val="22"/>
        </w:rPr>
      </w:pPr>
      <w:bookmarkStart w:id="0" w:name="_GoBack"/>
      <w:bookmarkEnd w:id="0"/>
    </w:p>
    <w:p w14:paraId="565032EB" w14:textId="77777777" w:rsidR="00583050" w:rsidRPr="009578F3" w:rsidRDefault="00583050" w:rsidP="00583050">
      <w:pPr>
        <w:pStyle w:val="ListParagraph"/>
        <w:numPr>
          <w:ilvl w:val="0"/>
          <w:numId w:val="11"/>
        </w:numPr>
        <w:rPr>
          <w:sz w:val="22"/>
          <w:szCs w:val="22"/>
        </w:rPr>
      </w:pPr>
      <w:r w:rsidRPr="009578F3">
        <w:rPr>
          <w:b/>
          <w:bCs/>
          <w:sz w:val="22"/>
          <w:szCs w:val="22"/>
        </w:rPr>
        <w:t>Resourcing:</w:t>
      </w:r>
      <w:r w:rsidRPr="009578F3">
        <w:rPr>
          <w:sz w:val="22"/>
          <w:szCs w:val="22"/>
        </w:rPr>
        <w:t xml:space="preserve"> Explore the role that allocation of financial and staffing resources has on the provision of advice, especially as it relates to budgetary limits set for broad project categories and in accordance with guidelines set in negotiation with government.</w:t>
      </w:r>
    </w:p>
    <w:p w14:paraId="5DBE4D7E" w14:textId="77777777" w:rsidR="00583050" w:rsidRPr="009578F3" w:rsidRDefault="00583050" w:rsidP="00583050">
      <w:pPr>
        <w:pStyle w:val="ListParagraph"/>
        <w:rPr>
          <w:sz w:val="22"/>
          <w:szCs w:val="22"/>
        </w:rPr>
      </w:pPr>
    </w:p>
    <w:p w14:paraId="68AFB8BB" w14:textId="77777777" w:rsidR="00583050" w:rsidRPr="009578F3" w:rsidRDefault="00583050" w:rsidP="00583050">
      <w:pPr>
        <w:pStyle w:val="ListParagraph"/>
        <w:numPr>
          <w:ilvl w:val="0"/>
          <w:numId w:val="11"/>
        </w:numPr>
        <w:rPr>
          <w:sz w:val="22"/>
          <w:szCs w:val="22"/>
        </w:rPr>
      </w:pPr>
      <w:r w:rsidRPr="009578F3">
        <w:rPr>
          <w:b/>
          <w:bCs/>
          <w:sz w:val="22"/>
          <w:szCs w:val="22"/>
        </w:rPr>
        <w:t>Timeframes:</w:t>
      </w:r>
      <w:r w:rsidRPr="009578F3">
        <w:rPr>
          <w:sz w:val="22"/>
          <w:szCs w:val="22"/>
        </w:rPr>
        <w:t xml:space="preserve"> Assess whether current arrangements and process allow for urgent advice, as well as that which needs to inform policy decisions decades ahead.</w:t>
      </w:r>
    </w:p>
    <w:p w14:paraId="384ED598" w14:textId="77777777" w:rsidR="00583050" w:rsidRPr="009578F3" w:rsidRDefault="00583050" w:rsidP="00583050">
      <w:pPr>
        <w:rPr>
          <w:sz w:val="22"/>
          <w:szCs w:val="22"/>
        </w:rPr>
      </w:pPr>
    </w:p>
    <w:p w14:paraId="43650521" w14:textId="77777777" w:rsidR="00583050" w:rsidRPr="009578F3" w:rsidRDefault="00583050" w:rsidP="00583050">
      <w:pPr>
        <w:pStyle w:val="ListParagraph"/>
        <w:numPr>
          <w:ilvl w:val="0"/>
          <w:numId w:val="11"/>
        </w:numPr>
        <w:rPr>
          <w:sz w:val="22"/>
          <w:szCs w:val="22"/>
        </w:rPr>
      </w:pPr>
      <w:r w:rsidRPr="009578F3">
        <w:rPr>
          <w:b/>
          <w:bCs/>
          <w:sz w:val="22"/>
          <w:szCs w:val="22"/>
        </w:rPr>
        <w:t>Communication:</w:t>
      </w:r>
      <w:r w:rsidRPr="009578F3">
        <w:rPr>
          <w:sz w:val="22"/>
          <w:szCs w:val="22"/>
        </w:rPr>
        <w:t xml:space="preserve"> Examine issues around communication of findings which are seen to be driven by the science and no other agendas, such as immediate political concerns. Greater opportunity for communication, especially with other scientists but also with potential users in the community.</w:t>
      </w:r>
    </w:p>
    <w:p w14:paraId="1582A5D2" w14:textId="77777777" w:rsidR="00583050" w:rsidRPr="00122B6C" w:rsidRDefault="00583050" w:rsidP="00583050">
      <w:pPr>
        <w:pStyle w:val="ListParagraph"/>
        <w:ind w:left="360"/>
        <w:rPr>
          <w:sz w:val="22"/>
          <w:szCs w:val="22"/>
        </w:rPr>
      </w:pPr>
    </w:p>
    <w:p w14:paraId="16B7807C" w14:textId="155FD862" w:rsidR="008050D1" w:rsidRPr="00A223B1" w:rsidRDefault="00583050" w:rsidP="003A6C70">
      <w:pPr>
        <w:pStyle w:val="ListParagraph"/>
        <w:numPr>
          <w:ilvl w:val="0"/>
          <w:numId w:val="11"/>
        </w:numPr>
        <w:rPr>
          <w:sz w:val="22"/>
          <w:szCs w:val="22"/>
        </w:rPr>
      </w:pPr>
      <w:r w:rsidRPr="00A223B1">
        <w:rPr>
          <w:b/>
          <w:bCs/>
          <w:sz w:val="22"/>
          <w:szCs w:val="22"/>
        </w:rPr>
        <w:t>Agencies:</w:t>
      </w:r>
      <w:r w:rsidRPr="00A223B1">
        <w:rPr>
          <w:sz w:val="22"/>
          <w:szCs w:val="22"/>
        </w:rPr>
        <w:t xml:space="preserve"> For government supported science agencies, explore whether structures and conditions of employment should involve clear demarcation between elected officials and expert bodies, a statutory corporation may be preferable to department</w:t>
      </w:r>
      <w:r w:rsidR="00A223B1">
        <w:rPr>
          <w:sz w:val="22"/>
          <w:szCs w:val="22"/>
        </w:rPr>
        <w:t>.</w:t>
      </w:r>
    </w:p>
    <w:p w14:paraId="61A9260B" w14:textId="77777777" w:rsidR="00E7721F" w:rsidRDefault="00E7721F">
      <w:pPr>
        <w:rPr>
          <w:sz w:val="22"/>
          <w:szCs w:val="22"/>
        </w:rPr>
      </w:pPr>
    </w:p>
    <w:sectPr w:rsidR="00E7721F" w:rsidSect="00D054B8">
      <w:footerReference w:type="even" r:id="rId10"/>
      <w:footerReference w:type="default" r:id="rId11"/>
      <w:pgSz w:w="11900" w:h="16840"/>
      <w:pgMar w:top="1440" w:right="1440" w:bottom="1440" w:left="1440" w:header="708" w:footer="708" w:gutter="0"/>
      <w:cols w:space="708"/>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9C8631" w14:textId="77777777" w:rsidR="00EB6EA6" w:rsidRDefault="00EB6EA6" w:rsidP="004A1731">
      <w:r>
        <w:separator/>
      </w:r>
    </w:p>
  </w:endnote>
  <w:endnote w:type="continuationSeparator" w:id="0">
    <w:p w14:paraId="5731BE97" w14:textId="77777777" w:rsidR="00EB6EA6" w:rsidRDefault="00EB6EA6" w:rsidP="004A17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B0604020202020204"/>
    <w:charset w:val="00"/>
    <w:family w:val="auto"/>
    <w:pitch w:val="variable"/>
    <w:sig w:usb0="E00002FF" w:usb1="5000205A" w:usb2="00000000" w:usb3="00000000" w:csb0="0000019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92080092"/>
      <w:docPartObj>
        <w:docPartGallery w:val="Page Numbers (Bottom of Page)"/>
        <w:docPartUnique/>
      </w:docPartObj>
    </w:sdtPr>
    <w:sdtEndPr>
      <w:rPr>
        <w:rStyle w:val="PageNumber"/>
      </w:rPr>
    </w:sdtEndPr>
    <w:sdtContent>
      <w:p w14:paraId="030F8834" w14:textId="53F9E8E4" w:rsidR="004A1731" w:rsidRDefault="004A1731" w:rsidP="00D06E0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32FFD27" w14:textId="77777777" w:rsidR="004A1731" w:rsidRDefault="004A1731" w:rsidP="004A173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58127212"/>
      <w:docPartObj>
        <w:docPartGallery w:val="Page Numbers (Bottom of Page)"/>
        <w:docPartUnique/>
      </w:docPartObj>
    </w:sdtPr>
    <w:sdtEndPr>
      <w:rPr>
        <w:rStyle w:val="PageNumber"/>
      </w:rPr>
    </w:sdtEndPr>
    <w:sdtContent>
      <w:p w14:paraId="468643E6" w14:textId="70ED826B" w:rsidR="004A1731" w:rsidRDefault="004A1731" w:rsidP="00D06E0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A6148C">
          <w:rPr>
            <w:rStyle w:val="PageNumber"/>
            <w:noProof/>
          </w:rPr>
          <w:t>4</w:t>
        </w:r>
        <w:r>
          <w:rPr>
            <w:rStyle w:val="PageNumber"/>
          </w:rPr>
          <w:fldChar w:fldCharType="end"/>
        </w:r>
      </w:p>
    </w:sdtContent>
  </w:sdt>
  <w:p w14:paraId="13BCA157" w14:textId="77777777" w:rsidR="004A1731" w:rsidRDefault="004A1731" w:rsidP="004A173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B66D3E" w14:textId="77777777" w:rsidR="00EB6EA6" w:rsidRDefault="00EB6EA6" w:rsidP="004A1731">
      <w:r>
        <w:separator/>
      </w:r>
    </w:p>
  </w:footnote>
  <w:footnote w:type="continuationSeparator" w:id="0">
    <w:p w14:paraId="0F4C74CE" w14:textId="77777777" w:rsidR="00EB6EA6" w:rsidRDefault="00EB6EA6" w:rsidP="004A17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F6DBF"/>
    <w:multiLevelType w:val="hybridMultilevel"/>
    <w:tmpl w:val="A84845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F41D4C"/>
    <w:multiLevelType w:val="hybridMultilevel"/>
    <w:tmpl w:val="6BF037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826DD3"/>
    <w:multiLevelType w:val="hybridMultilevel"/>
    <w:tmpl w:val="803E33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0B7C2A"/>
    <w:multiLevelType w:val="hybridMultilevel"/>
    <w:tmpl w:val="FB8A92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BB509A"/>
    <w:multiLevelType w:val="hybridMultilevel"/>
    <w:tmpl w:val="709A45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C86212"/>
    <w:multiLevelType w:val="hybridMultilevel"/>
    <w:tmpl w:val="801E821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B2C224A"/>
    <w:multiLevelType w:val="hybridMultilevel"/>
    <w:tmpl w:val="46127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7C5182"/>
    <w:multiLevelType w:val="hybridMultilevel"/>
    <w:tmpl w:val="5E3EC460"/>
    <w:lvl w:ilvl="0" w:tplc="38603B2E">
      <w:start w:val="1934"/>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7F19E6"/>
    <w:multiLevelType w:val="hybridMultilevel"/>
    <w:tmpl w:val="F08810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4A0D97"/>
    <w:multiLevelType w:val="hybridMultilevel"/>
    <w:tmpl w:val="BC7A095A"/>
    <w:lvl w:ilvl="0" w:tplc="38603B2E">
      <w:start w:val="6"/>
      <w:numFmt w:val="bullet"/>
      <w:lvlText w:val=""/>
      <w:lvlJc w:val="left"/>
      <w:pPr>
        <w:ind w:left="72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EE2A44"/>
    <w:multiLevelType w:val="hybridMultilevel"/>
    <w:tmpl w:val="B43CD5DA"/>
    <w:lvl w:ilvl="0" w:tplc="83E2FB86">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A267AB1"/>
    <w:multiLevelType w:val="hybridMultilevel"/>
    <w:tmpl w:val="3306B2E0"/>
    <w:lvl w:ilvl="0" w:tplc="38603B2E">
      <w:start w:val="6"/>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394B07"/>
    <w:multiLevelType w:val="hybridMultilevel"/>
    <w:tmpl w:val="742E84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660EC0"/>
    <w:multiLevelType w:val="hybridMultilevel"/>
    <w:tmpl w:val="3886E4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E175D1"/>
    <w:multiLevelType w:val="hybridMultilevel"/>
    <w:tmpl w:val="F21E2CDE"/>
    <w:lvl w:ilvl="0" w:tplc="04090001">
      <w:start w:val="1"/>
      <w:numFmt w:val="bullet"/>
      <w:lvlText w:val=""/>
      <w:lvlJc w:val="left"/>
      <w:pPr>
        <w:ind w:left="720" w:hanging="360"/>
      </w:pPr>
      <w:rPr>
        <w:rFonts w:ascii="Symbol" w:hAnsi="Symbol" w:hint="default"/>
      </w:rPr>
    </w:lvl>
    <w:lvl w:ilvl="1" w:tplc="A99E880C">
      <w:numFmt w:val="bullet"/>
      <w:lvlText w:val="-"/>
      <w:lvlJc w:val="left"/>
      <w:pPr>
        <w:ind w:left="720" w:hanging="360"/>
      </w:pPr>
      <w:rPr>
        <w:rFonts w:ascii="Calibri" w:eastAsiaTheme="minorEastAsia"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8D630A"/>
    <w:multiLevelType w:val="hybridMultilevel"/>
    <w:tmpl w:val="6D523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CD1576"/>
    <w:multiLevelType w:val="hybridMultilevel"/>
    <w:tmpl w:val="02780F2A"/>
    <w:lvl w:ilvl="0" w:tplc="38603B2E">
      <w:start w:val="1934"/>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960271"/>
    <w:multiLevelType w:val="hybridMultilevel"/>
    <w:tmpl w:val="ADEEF75A"/>
    <w:lvl w:ilvl="0" w:tplc="FE76C172">
      <w:start w:val="1"/>
      <w:numFmt w:val="decimal"/>
      <w:lvlText w:val="%1."/>
      <w:lvlJc w:val="left"/>
      <w:pPr>
        <w:ind w:left="360" w:hanging="36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8D23F4A"/>
    <w:multiLevelType w:val="hybridMultilevel"/>
    <w:tmpl w:val="ACEC8D6C"/>
    <w:lvl w:ilvl="0" w:tplc="38603B2E">
      <w:start w:val="8"/>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AD66F3"/>
    <w:multiLevelType w:val="hybridMultilevel"/>
    <w:tmpl w:val="BBFC2B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3062B5A"/>
    <w:multiLevelType w:val="hybridMultilevel"/>
    <w:tmpl w:val="9CCCD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6296DA3"/>
    <w:multiLevelType w:val="hybridMultilevel"/>
    <w:tmpl w:val="AF7490E2"/>
    <w:lvl w:ilvl="0" w:tplc="27CABDD8">
      <w:start w:val="3"/>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CBC4147"/>
    <w:multiLevelType w:val="hybridMultilevel"/>
    <w:tmpl w:val="2510578C"/>
    <w:lvl w:ilvl="0" w:tplc="3FB68D92">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A707CA6"/>
    <w:multiLevelType w:val="hybridMultilevel"/>
    <w:tmpl w:val="7D4A0400"/>
    <w:lvl w:ilvl="0" w:tplc="3FB68D92">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A957274"/>
    <w:multiLevelType w:val="hybridMultilevel"/>
    <w:tmpl w:val="CF5C99DE"/>
    <w:lvl w:ilvl="0" w:tplc="A99E880C">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DE22198"/>
    <w:multiLevelType w:val="hybridMultilevel"/>
    <w:tmpl w:val="801E82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3"/>
  </w:num>
  <w:num w:numId="3">
    <w:abstractNumId w:val="8"/>
  </w:num>
  <w:num w:numId="4">
    <w:abstractNumId w:val="19"/>
  </w:num>
  <w:num w:numId="5">
    <w:abstractNumId w:val="0"/>
  </w:num>
  <w:num w:numId="6">
    <w:abstractNumId w:val="1"/>
  </w:num>
  <w:num w:numId="7">
    <w:abstractNumId w:val="3"/>
  </w:num>
  <w:num w:numId="8">
    <w:abstractNumId w:val="12"/>
  </w:num>
  <w:num w:numId="9">
    <w:abstractNumId w:val="5"/>
  </w:num>
  <w:num w:numId="10">
    <w:abstractNumId w:val="25"/>
  </w:num>
  <w:num w:numId="11">
    <w:abstractNumId w:val="17"/>
  </w:num>
  <w:num w:numId="12">
    <w:abstractNumId w:val="11"/>
  </w:num>
  <w:num w:numId="13">
    <w:abstractNumId w:val="18"/>
  </w:num>
  <w:num w:numId="14">
    <w:abstractNumId w:val="14"/>
  </w:num>
  <w:num w:numId="15">
    <w:abstractNumId w:val="6"/>
  </w:num>
  <w:num w:numId="16">
    <w:abstractNumId w:val="24"/>
  </w:num>
  <w:num w:numId="17">
    <w:abstractNumId w:val="2"/>
  </w:num>
  <w:num w:numId="18">
    <w:abstractNumId w:val="16"/>
  </w:num>
  <w:num w:numId="19">
    <w:abstractNumId w:val="7"/>
  </w:num>
  <w:num w:numId="20">
    <w:abstractNumId w:val="4"/>
  </w:num>
  <w:num w:numId="21">
    <w:abstractNumId w:val="10"/>
  </w:num>
  <w:num w:numId="22">
    <w:abstractNumId w:val="23"/>
  </w:num>
  <w:num w:numId="23">
    <w:abstractNumId w:val="22"/>
  </w:num>
  <w:num w:numId="24">
    <w:abstractNumId w:val="15"/>
  </w:num>
  <w:num w:numId="25">
    <w:abstractNumId w:val="20"/>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6CF4"/>
    <w:rsid w:val="000116D5"/>
    <w:rsid w:val="00012BBC"/>
    <w:rsid w:val="00016B4D"/>
    <w:rsid w:val="000434B2"/>
    <w:rsid w:val="00051CC1"/>
    <w:rsid w:val="00052AC8"/>
    <w:rsid w:val="0005309F"/>
    <w:rsid w:val="00054397"/>
    <w:rsid w:val="00066C54"/>
    <w:rsid w:val="00067D4C"/>
    <w:rsid w:val="000930B7"/>
    <w:rsid w:val="00094A0D"/>
    <w:rsid w:val="000B1656"/>
    <w:rsid w:val="000C2B0A"/>
    <w:rsid w:val="000C2BB0"/>
    <w:rsid w:val="000C5FCF"/>
    <w:rsid w:val="000D51B1"/>
    <w:rsid w:val="000E397F"/>
    <w:rsid w:val="000E3BA6"/>
    <w:rsid w:val="000E69C5"/>
    <w:rsid w:val="000E6B81"/>
    <w:rsid w:val="00107A33"/>
    <w:rsid w:val="00114D05"/>
    <w:rsid w:val="001215E0"/>
    <w:rsid w:val="00122B6C"/>
    <w:rsid w:val="001308C9"/>
    <w:rsid w:val="0013109D"/>
    <w:rsid w:val="00131D15"/>
    <w:rsid w:val="001375DD"/>
    <w:rsid w:val="0015130E"/>
    <w:rsid w:val="00151AC8"/>
    <w:rsid w:val="00157817"/>
    <w:rsid w:val="001621BB"/>
    <w:rsid w:val="00182329"/>
    <w:rsid w:val="00197EE9"/>
    <w:rsid w:val="001A1629"/>
    <w:rsid w:val="001B2098"/>
    <w:rsid w:val="001B4CBC"/>
    <w:rsid w:val="001C3323"/>
    <w:rsid w:val="001C4BB8"/>
    <w:rsid w:val="001C542B"/>
    <w:rsid w:val="001D023C"/>
    <w:rsid w:val="001D34B4"/>
    <w:rsid w:val="001D6BF0"/>
    <w:rsid w:val="001E1D1F"/>
    <w:rsid w:val="001E408F"/>
    <w:rsid w:val="001E763D"/>
    <w:rsid w:val="001F6307"/>
    <w:rsid w:val="00221F88"/>
    <w:rsid w:val="0022450E"/>
    <w:rsid w:val="002246E2"/>
    <w:rsid w:val="002317D6"/>
    <w:rsid w:val="00233837"/>
    <w:rsid w:val="002420ED"/>
    <w:rsid w:val="00247EC8"/>
    <w:rsid w:val="0025495F"/>
    <w:rsid w:val="00277344"/>
    <w:rsid w:val="00281D9E"/>
    <w:rsid w:val="00282574"/>
    <w:rsid w:val="00283A04"/>
    <w:rsid w:val="00284452"/>
    <w:rsid w:val="0028492A"/>
    <w:rsid w:val="002972F3"/>
    <w:rsid w:val="002A1EAB"/>
    <w:rsid w:val="002A3881"/>
    <w:rsid w:val="002B2FB6"/>
    <w:rsid w:val="002D05AA"/>
    <w:rsid w:val="002D1644"/>
    <w:rsid w:val="002D798F"/>
    <w:rsid w:val="002E1F37"/>
    <w:rsid w:val="002F1E90"/>
    <w:rsid w:val="002F1FA7"/>
    <w:rsid w:val="00310E7E"/>
    <w:rsid w:val="00310E8D"/>
    <w:rsid w:val="0033063A"/>
    <w:rsid w:val="00335AA7"/>
    <w:rsid w:val="00335B58"/>
    <w:rsid w:val="00340D2C"/>
    <w:rsid w:val="0035405A"/>
    <w:rsid w:val="003802E4"/>
    <w:rsid w:val="00382FDE"/>
    <w:rsid w:val="003905A2"/>
    <w:rsid w:val="003B3823"/>
    <w:rsid w:val="003C0EAD"/>
    <w:rsid w:val="003C14AA"/>
    <w:rsid w:val="003C7041"/>
    <w:rsid w:val="003D06BB"/>
    <w:rsid w:val="003D49DD"/>
    <w:rsid w:val="003E33F1"/>
    <w:rsid w:val="003E3984"/>
    <w:rsid w:val="003E7B9D"/>
    <w:rsid w:val="003F6E89"/>
    <w:rsid w:val="00405C24"/>
    <w:rsid w:val="00421D01"/>
    <w:rsid w:val="00434795"/>
    <w:rsid w:val="00436FF7"/>
    <w:rsid w:val="00444FBE"/>
    <w:rsid w:val="00471697"/>
    <w:rsid w:val="00472B29"/>
    <w:rsid w:val="004A1731"/>
    <w:rsid w:val="004A3D12"/>
    <w:rsid w:val="004B41A5"/>
    <w:rsid w:val="004B48DB"/>
    <w:rsid w:val="004C5627"/>
    <w:rsid w:val="004D194C"/>
    <w:rsid w:val="004D2954"/>
    <w:rsid w:val="004D6241"/>
    <w:rsid w:val="004E5CE8"/>
    <w:rsid w:val="004E5F9E"/>
    <w:rsid w:val="004F1664"/>
    <w:rsid w:val="004F5C70"/>
    <w:rsid w:val="004F6840"/>
    <w:rsid w:val="0051181C"/>
    <w:rsid w:val="00512BFE"/>
    <w:rsid w:val="005138AC"/>
    <w:rsid w:val="00524777"/>
    <w:rsid w:val="0052698E"/>
    <w:rsid w:val="0052703B"/>
    <w:rsid w:val="0055555F"/>
    <w:rsid w:val="0056361A"/>
    <w:rsid w:val="005818E0"/>
    <w:rsid w:val="00583050"/>
    <w:rsid w:val="00583497"/>
    <w:rsid w:val="00583627"/>
    <w:rsid w:val="0058546C"/>
    <w:rsid w:val="005A5DAF"/>
    <w:rsid w:val="005B53A3"/>
    <w:rsid w:val="005C4F4D"/>
    <w:rsid w:val="005C7D86"/>
    <w:rsid w:val="005D0571"/>
    <w:rsid w:val="005D34CE"/>
    <w:rsid w:val="005D51C1"/>
    <w:rsid w:val="005E126D"/>
    <w:rsid w:val="005E44E1"/>
    <w:rsid w:val="005E4A30"/>
    <w:rsid w:val="00634050"/>
    <w:rsid w:val="006453C0"/>
    <w:rsid w:val="006460BE"/>
    <w:rsid w:val="00652BDF"/>
    <w:rsid w:val="0065342F"/>
    <w:rsid w:val="00662D3A"/>
    <w:rsid w:val="006641CC"/>
    <w:rsid w:val="006663A0"/>
    <w:rsid w:val="0067114F"/>
    <w:rsid w:val="00680F41"/>
    <w:rsid w:val="00690B27"/>
    <w:rsid w:val="00693FF5"/>
    <w:rsid w:val="00695B1D"/>
    <w:rsid w:val="006B185C"/>
    <w:rsid w:val="006C5C7D"/>
    <w:rsid w:val="006C6B26"/>
    <w:rsid w:val="00703210"/>
    <w:rsid w:val="00704BAB"/>
    <w:rsid w:val="007075CC"/>
    <w:rsid w:val="00711FD3"/>
    <w:rsid w:val="00720C52"/>
    <w:rsid w:val="00726880"/>
    <w:rsid w:val="0073553D"/>
    <w:rsid w:val="0073688F"/>
    <w:rsid w:val="007467D2"/>
    <w:rsid w:val="00752925"/>
    <w:rsid w:val="00753D36"/>
    <w:rsid w:val="00760CA6"/>
    <w:rsid w:val="00762924"/>
    <w:rsid w:val="00762E4C"/>
    <w:rsid w:val="00773E49"/>
    <w:rsid w:val="0077700B"/>
    <w:rsid w:val="00777BC4"/>
    <w:rsid w:val="00786501"/>
    <w:rsid w:val="007A7427"/>
    <w:rsid w:val="007B09A6"/>
    <w:rsid w:val="007B0FB7"/>
    <w:rsid w:val="007D1625"/>
    <w:rsid w:val="007F26CE"/>
    <w:rsid w:val="007F3C4C"/>
    <w:rsid w:val="00801455"/>
    <w:rsid w:val="008050D1"/>
    <w:rsid w:val="0082408F"/>
    <w:rsid w:val="00826A4B"/>
    <w:rsid w:val="00832692"/>
    <w:rsid w:val="0083508F"/>
    <w:rsid w:val="0084278E"/>
    <w:rsid w:val="00844976"/>
    <w:rsid w:val="00852092"/>
    <w:rsid w:val="008572A8"/>
    <w:rsid w:val="008721CE"/>
    <w:rsid w:val="00875C49"/>
    <w:rsid w:val="00880C3D"/>
    <w:rsid w:val="0088377A"/>
    <w:rsid w:val="00894007"/>
    <w:rsid w:val="0089658A"/>
    <w:rsid w:val="008B5805"/>
    <w:rsid w:val="008B740C"/>
    <w:rsid w:val="008C2652"/>
    <w:rsid w:val="008C5950"/>
    <w:rsid w:val="008D0E48"/>
    <w:rsid w:val="008D10EC"/>
    <w:rsid w:val="008E7E19"/>
    <w:rsid w:val="00905181"/>
    <w:rsid w:val="00925AFA"/>
    <w:rsid w:val="0092671B"/>
    <w:rsid w:val="009358B5"/>
    <w:rsid w:val="009364A9"/>
    <w:rsid w:val="00936EC2"/>
    <w:rsid w:val="00950A34"/>
    <w:rsid w:val="009578F3"/>
    <w:rsid w:val="00964777"/>
    <w:rsid w:val="009752D2"/>
    <w:rsid w:val="00976F8F"/>
    <w:rsid w:val="009817A6"/>
    <w:rsid w:val="009821A0"/>
    <w:rsid w:val="00982A2E"/>
    <w:rsid w:val="00994E16"/>
    <w:rsid w:val="00996282"/>
    <w:rsid w:val="009A105D"/>
    <w:rsid w:val="009A5A07"/>
    <w:rsid w:val="009B33B3"/>
    <w:rsid w:val="009B3BA1"/>
    <w:rsid w:val="009B6132"/>
    <w:rsid w:val="009C4A0C"/>
    <w:rsid w:val="009C623D"/>
    <w:rsid w:val="009C7CC0"/>
    <w:rsid w:val="009D1D22"/>
    <w:rsid w:val="009D2D83"/>
    <w:rsid w:val="009E0A7E"/>
    <w:rsid w:val="009E4ED4"/>
    <w:rsid w:val="00A13CAC"/>
    <w:rsid w:val="00A14FCE"/>
    <w:rsid w:val="00A164EF"/>
    <w:rsid w:val="00A212C1"/>
    <w:rsid w:val="00A223B1"/>
    <w:rsid w:val="00A422CA"/>
    <w:rsid w:val="00A53C23"/>
    <w:rsid w:val="00A6148C"/>
    <w:rsid w:val="00A7161A"/>
    <w:rsid w:val="00A95471"/>
    <w:rsid w:val="00A96756"/>
    <w:rsid w:val="00AA5E14"/>
    <w:rsid w:val="00AB0692"/>
    <w:rsid w:val="00AC2D06"/>
    <w:rsid w:val="00AD4E58"/>
    <w:rsid w:val="00AE0B78"/>
    <w:rsid w:val="00AE635A"/>
    <w:rsid w:val="00AF4BCA"/>
    <w:rsid w:val="00AF7231"/>
    <w:rsid w:val="00B05741"/>
    <w:rsid w:val="00B2296F"/>
    <w:rsid w:val="00B400FF"/>
    <w:rsid w:val="00B65856"/>
    <w:rsid w:val="00B72408"/>
    <w:rsid w:val="00B87A8F"/>
    <w:rsid w:val="00B905BB"/>
    <w:rsid w:val="00B921E9"/>
    <w:rsid w:val="00B928DD"/>
    <w:rsid w:val="00BA263B"/>
    <w:rsid w:val="00BB5614"/>
    <w:rsid w:val="00BC1C00"/>
    <w:rsid w:val="00BD3500"/>
    <w:rsid w:val="00BD7F7B"/>
    <w:rsid w:val="00BE33E6"/>
    <w:rsid w:val="00C12345"/>
    <w:rsid w:val="00C217B6"/>
    <w:rsid w:val="00C327B0"/>
    <w:rsid w:val="00C51E9F"/>
    <w:rsid w:val="00C67EF5"/>
    <w:rsid w:val="00C71CB6"/>
    <w:rsid w:val="00C75164"/>
    <w:rsid w:val="00C82A7E"/>
    <w:rsid w:val="00C854B4"/>
    <w:rsid w:val="00C97D24"/>
    <w:rsid w:val="00CB6C36"/>
    <w:rsid w:val="00CC2087"/>
    <w:rsid w:val="00CC5102"/>
    <w:rsid w:val="00CC55F0"/>
    <w:rsid w:val="00CD12AF"/>
    <w:rsid w:val="00CD1F40"/>
    <w:rsid w:val="00CD5F13"/>
    <w:rsid w:val="00CE0375"/>
    <w:rsid w:val="00CE46E6"/>
    <w:rsid w:val="00D054B8"/>
    <w:rsid w:val="00D06902"/>
    <w:rsid w:val="00D169AC"/>
    <w:rsid w:val="00D216BF"/>
    <w:rsid w:val="00D218A3"/>
    <w:rsid w:val="00D21CC9"/>
    <w:rsid w:val="00D30524"/>
    <w:rsid w:val="00D54D23"/>
    <w:rsid w:val="00D61462"/>
    <w:rsid w:val="00D67F3B"/>
    <w:rsid w:val="00D71CFE"/>
    <w:rsid w:val="00D82AC2"/>
    <w:rsid w:val="00D855D7"/>
    <w:rsid w:val="00D8655F"/>
    <w:rsid w:val="00D9600E"/>
    <w:rsid w:val="00DA150A"/>
    <w:rsid w:val="00DA63A9"/>
    <w:rsid w:val="00DB06F5"/>
    <w:rsid w:val="00DC0592"/>
    <w:rsid w:val="00DC29F0"/>
    <w:rsid w:val="00DC34DC"/>
    <w:rsid w:val="00DC4757"/>
    <w:rsid w:val="00DD030A"/>
    <w:rsid w:val="00DF644D"/>
    <w:rsid w:val="00E1182E"/>
    <w:rsid w:val="00E44ECE"/>
    <w:rsid w:val="00E45CAF"/>
    <w:rsid w:val="00E519B1"/>
    <w:rsid w:val="00E538B0"/>
    <w:rsid w:val="00E53D10"/>
    <w:rsid w:val="00E631C6"/>
    <w:rsid w:val="00E71C5E"/>
    <w:rsid w:val="00E7721F"/>
    <w:rsid w:val="00E94ECA"/>
    <w:rsid w:val="00E96C11"/>
    <w:rsid w:val="00EA079E"/>
    <w:rsid w:val="00EB03BA"/>
    <w:rsid w:val="00EB6EA6"/>
    <w:rsid w:val="00EE26C9"/>
    <w:rsid w:val="00EF6698"/>
    <w:rsid w:val="00F0211D"/>
    <w:rsid w:val="00F03310"/>
    <w:rsid w:val="00F03600"/>
    <w:rsid w:val="00F03EE9"/>
    <w:rsid w:val="00F16E9B"/>
    <w:rsid w:val="00F21270"/>
    <w:rsid w:val="00F234A3"/>
    <w:rsid w:val="00F264D2"/>
    <w:rsid w:val="00F3167B"/>
    <w:rsid w:val="00F350DC"/>
    <w:rsid w:val="00F36979"/>
    <w:rsid w:val="00F36CF4"/>
    <w:rsid w:val="00F37FE2"/>
    <w:rsid w:val="00F42051"/>
    <w:rsid w:val="00F43B23"/>
    <w:rsid w:val="00F447D0"/>
    <w:rsid w:val="00F450E5"/>
    <w:rsid w:val="00F52C12"/>
    <w:rsid w:val="00F6671B"/>
    <w:rsid w:val="00F91240"/>
    <w:rsid w:val="00F94415"/>
    <w:rsid w:val="00FA21DF"/>
    <w:rsid w:val="00FB6364"/>
    <w:rsid w:val="00FC1CF8"/>
    <w:rsid w:val="00FC4236"/>
    <w:rsid w:val="00FD13BF"/>
    <w:rsid w:val="00FD48CE"/>
    <w:rsid w:val="00FD7D27"/>
    <w:rsid w:val="00FE6DB4"/>
    <w:rsid w:val="00FF0B77"/>
    <w:rsid w:val="00FF785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F7705"/>
  <w14:defaultImageDpi w14:val="32767"/>
  <w15:chartTrackingRefBased/>
  <w15:docId w15:val="{7D6F6CCE-1FBE-9642-944A-276B5F53E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212C1"/>
  </w:style>
  <w:style w:type="paragraph" w:styleId="ListParagraph">
    <w:name w:val="List Paragraph"/>
    <w:basedOn w:val="Normal"/>
    <w:uiPriority w:val="34"/>
    <w:qFormat/>
    <w:rsid w:val="00FF7853"/>
    <w:pPr>
      <w:ind w:left="720"/>
      <w:contextualSpacing/>
    </w:pPr>
  </w:style>
  <w:style w:type="paragraph" w:styleId="Footer">
    <w:name w:val="footer"/>
    <w:basedOn w:val="Normal"/>
    <w:link w:val="FooterChar"/>
    <w:uiPriority w:val="99"/>
    <w:unhideWhenUsed/>
    <w:rsid w:val="004A1731"/>
    <w:pPr>
      <w:tabs>
        <w:tab w:val="center" w:pos="4513"/>
        <w:tab w:val="right" w:pos="9026"/>
      </w:tabs>
    </w:pPr>
  </w:style>
  <w:style w:type="character" w:customStyle="1" w:styleId="FooterChar">
    <w:name w:val="Footer Char"/>
    <w:basedOn w:val="DefaultParagraphFont"/>
    <w:link w:val="Footer"/>
    <w:uiPriority w:val="99"/>
    <w:rsid w:val="004A1731"/>
    <w:rPr>
      <w:lang w:val="en-AU"/>
    </w:rPr>
  </w:style>
  <w:style w:type="character" w:styleId="PageNumber">
    <w:name w:val="page number"/>
    <w:basedOn w:val="DefaultParagraphFont"/>
    <w:uiPriority w:val="99"/>
    <w:semiHidden/>
    <w:unhideWhenUsed/>
    <w:rsid w:val="004A1731"/>
  </w:style>
  <w:style w:type="paragraph" w:styleId="Caption">
    <w:name w:val="caption"/>
    <w:basedOn w:val="Normal"/>
    <w:next w:val="Normal"/>
    <w:uiPriority w:val="35"/>
    <w:semiHidden/>
    <w:unhideWhenUsed/>
    <w:qFormat/>
    <w:rsid w:val="001C3323"/>
    <w:pPr>
      <w:spacing w:after="200"/>
    </w:pPr>
    <w:rPr>
      <w:i/>
      <w:iCs/>
      <w:color w:val="44546A" w:themeColor="text2"/>
      <w:sz w:val="18"/>
      <w:szCs w:val="18"/>
    </w:rPr>
  </w:style>
  <w:style w:type="character" w:customStyle="1" w:styleId="nlmstring-name">
    <w:name w:val="nlm_string-name"/>
    <w:basedOn w:val="DefaultParagraphFont"/>
    <w:rsid w:val="00E7721F"/>
  </w:style>
  <w:style w:type="paragraph" w:styleId="BalloonText">
    <w:name w:val="Balloon Text"/>
    <w:basedOn w:val="Normal"/>
    <w:link w:val="BalloonTextChar"/>
    <w:uiPriority w:val="99"/>
    <w:semiHidden/>
    <w:unhideWhenUsed/>
    <w:rsid w:val="00711FD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11FD3"/>
    <w:rPr>
      <w:rFonts w:ascii="Times New Roman" w:hAnsi="Times New Roman" w:cs="Times New Roman"/>
      <w:sz w:val="18"/>
      <w:szCs w:val="18"/>
      <w:lang w:val="en-AU"/>
    </w:rPr>
  </w:style>
  <w:style w:type="character" w:styleId="CommentReference">
    <w:name w:val="annotation reference"/>
    <w:basedOn w:val="DefaultParagraphFont"/>
    <w:uiPriority w:val="99"/>
    <w:semiHidden/>
    <w:unhideWhenUsed/>
    <w:rsid w:val="00A7161A"/>
    <w:rPr>
      <w:sz w:val="18"/>
      <w:szCs w:val="18"/>
    </w:rPr>
  </w:style>
  <w:style w:type="paragraph" w:styleId="CommentText">
    <w:name w:val="annotation text"/>
    <w:basedOn w:val="Normal"/>
    <w:link w:val="CommentTextChar"/>
    <w:uiPriority w:val="99"/>
    <w:semiHidden/>
    <w:unhideWhenUsed/>
    <w:rsid w:val="00A7161A"/>
  </w:style>
  <w:style w:type="character" w:customStyle="1" w:styleId="CommentTextChar">
    <w:name w:val="Comment Text Char"/>
    <w:basedOn w:val="DefaultParagraphFont"/>
    <w:link w:val="CommentText"/>
    <w:uiPriority w:val="99"/>
    <w:semiHidden/>
    <w:rsid w:val="00A7161A"/>
    <w:rPr>
      <w:lang w:val="en-AU"/>
    </w:rPr>
  </w:style>
  <w:style w:type="paragraph" w:styleId="CommentSubject">
    <w:name w:val="annotation subject"/>
    <w:basedOn w:val="CommentText"/>
    <w:next w:val="CommentText"/>
    <w:link w:val="CommentSubjectChar"/>
    <w:uiPriority w:val="99"/>
    <w:semiHidden/>
    <w:unhideWhenUsed/>
    <w:rsid w:val="00A7161A"/>
    <w:rPr>
      <w:b/>
      <w:bCs/>
      <w:sz w:val="20"/>
      <w:szCs w:val="20"/>
    </w:rPr>
  </w:style>
  <w:style w:type="character" w:customStyle="1" w:styleId="CommentSubjectChar">
    <w:name w:val="Comment Subject Char"/>
    <w:basedOn w:val="CommentTextChar"/>
    <w:link w:val="CommentSubject"/>
    <w:uiPriority w:val="99"/>
    <w:semiHidden/>
    <w:rsid w:val="00A7161A"/>
    <w:rPr>
      <w:b/>
      <w:bCs/>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9427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ustomXml" Target="../customXml/item2.xml"/></Relationships>
</file>

<file path=word/charts/_rels/chart1.xml.rels><?xml version="1.0" encoding="UTF-8" standalone="yes"?>
<Relationships xmlns="http://schemas.openxmlformats.org/package/2006/relationships"><Relationship Id="rId3" Type="http://schemas.openxmlformats.org/officeDocument/2006/relationships/oleObject" Target="NULL"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NULL"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0" i="0" u="none" strike="noStrike" kern="1200" spc="0" baseline="0">
                <a:solidFill>
                  <a:schemeClr val="tx1">
                    <a:lumMod val="65000"/>
                    <a:lumOff val="35000"/>
                  </a:schemeClr>
                </a:solidFill>
                <a:latin typeface="+mn-lt"/>
                <a:ea typeface="+mn-ea"/>
                <a:cs typeface="+mn-cs"/>
              </a:defRPr>
            </a:pPr>
            <a:r>
              <a:rPr lang="en-US" sz="900"/>
              <a:t> </a:t>
            </a:r>
          </a:p>
        </c:rich>
      </c:tx>
      <c:overlay val="0"/>
      <c:spPr>
        <a:noFill/>
        <a:ln>
          <a:noFill/>
        </a:ln>
        <a:effectLst/>
      </c:spPr>
      <c:txPr>
        <a:bodyPr rot="0" spcFirstLastPara="1" vertOverflow="ellipsis" vert="horz" wrap="square" anchor="ctr" anchorCtr="1"/>
        <a:lstStyle/>
        <a:p>
          <a:pPr>
            <a:defRPr sz="9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Sheet2!$A$74</c:f>
              <c:strCache>
                <c:ptCount val="1"/>
                <c:pt idx="0">
                  <c:v>Australian Commonwealth Government</c:v>
                </c:pt>
              </c:strCache>
            </c:strRef>
          </c:tx>
          <c:spPr>
            <a:ln w="28575" cap="rnd">
              <a:solidFill>
                <a:schemeClr val="accent1"/>
              </a:solidFill>
              <a:round/>
            </a:ln>
            <a:effectLst/>
          </c:spPr>
          <c:marker>
            <c:symbol val="none"/>
          </c:marker>
          <c:cat>
            <c:strRef>
              <c:f>Sheet2!$B$71:$T$71</c:f>
              <c:strCache>
                <c:ptCount val="19"/>
                <c:pt idx="0">
                  <c:v>1998-99</c:v>
                </c:pt>
                <c:pt idx="1">
                  <c:v>1999-2000</c:v>
                </c:pt>
                <c:pt idx="2">
                  <c:v>2000-01</c:v>
                </c:pt>
                <c:pt idx="3">
                  <c:v>2001-02</c:v>
                </c:pt>
                <c:pt idx="4">
                  <c:v>2002-03</c:v>
                </c:pt>
                <c:pt idx="5">
                  <c:v>2003-04</c:v>
                </c:pt>
                <c:pt idx="6">
                  <c:v>2004-05</c:v>
                </c:pt>
                <c:pt idx="7">
                  <c:v>2005-06</c:v>
                </c:pt>
                <c:pt idx="8">
                  <c:v>2006-07</c:v>
                </c:pt>
                <c:pt idx="9">
                  <c:v>2007-08</c:v>
                </c:pt>
                <c:pt idx="10">
                  <c:v>2008-09</c:v>
                </c:pt>
                <c:pt idx="11">
                  <c:v>2009-10</c:v>
                </c:pt>
                <c:pt idx="12">
                  <c:v>2010-11</c:v>
                </c:pt>
                <c:pt idx="13">
                  <c:v>2011-12</c:v>
                </c:pt>
                <c:pt idx="14">
                  <c:v>2012-13</c:v>
                </c:pt>
                <c:pt idx="15">
                  <c:v>2013-14</c:v>
                </c:pt>
                <c:pt idx="16">
                  <c:v>2014-15</c:v>
                </c:pt>
                <c:pt idx="17">
                  <c:v>2015-16</c:v>
                </c:pt>
                <c:pt idx="18">
                  <c:v>2016-17</c:v>
                </c:pt>
              </c:strCache>
            </c:strRef>
          </c:cat>
          <c:val>
            <c:numRef>
              <c:f>Sheet2!$B$74:$T$74</c:f>
              <c:numCache>
                <c:formatCode>0.00%</c:formatCode>
                <c:ptCount val="19"/>
                <c:pt idx="0">
                  <c:v>5.4763340805367003E-2</c:v>
                </c:pt>
                <c:pt idx="1">
                  <c:v>5.4865679977659898E-2</c:v>
                </c:pt>
                <c:pt idx="2">
                  <c:v>4.7943954024178698E-2</c:v>
                </c:pt>
                <c:pt idx="3">
                  <c:v>4.9569257352422597E-2</c:v>
                </c:pt>
                <c:pt idx="4">
                  <c:v>5.0215516465390603E-2</c:v>
                </c:pt>
                <c:pt idx="5">
                  <c:v>5.5333611785718301E-2</c:v>
                </c:pt>
                <c:pt idx="6">
                  <c:v>4.5993674402272103E-2</c:v>
                </c:pt>
                <c:pt idx="7">
                  <c:v>5.0229977458261403E-2</c:v>
                </c:pt>
                <c:pt idx="8">
                  <c:v>5.0762813140506402E-2</c:v>
                </c:pt>
                <c:pt idx="9">
                  <c:v>4.5397056480286503E-2</c:v>
                </c:pt>
                <c:pt idx="10">
                  <c:v>4.3903874102697298E-2</c:v>
                </c:pt>
                <c:pt idx="11">
                  <c:v>4.1225790321263202E-2</c:v>
                </c:pt>
                <c:pt idx="12">
                  <c:v>4.2543437471525503E-2</c:v>
                </c:pt>
                <c:pt idx="13">
                  <c:v>4.2029293969509197E-2</c:v>
                </c:pt>
                <c:pt idx="14">
                  <c:v>4.04925809988105E-2</c:v>
                </c:pt>
                <c:pt idx="15">
                  <c:v>3.9856681302699398E-2</c:v>
                </c:pt>
                <c:pt idx="16">
                  <c:v>3.8945200267463502E-2</c:v>
                </c:pt>
                <c:pt idx="17">
                  <c:v>3.7828326555908003E-2</c:v>
                </c:pt>
                <c:pt idx="18">
                  <c:v>3.5943815198995401E-2</c:v>
                </c:pt>
              </c:numCache>
            </c:numRef>
          </c:val>
          <c:smooth val="0"/>
          <c:extLst>
            <c:ext xmlns:c16="http://schemas.microsoft.com/office/drawing/2014/chart" uri="{C3380CC4-5D6E-409C-BE32-E72D297353CC}">
              <c16:uniqueId val="{00000000-7D37-DD48-BC70-C56AEEA966A2}"/>
            </c:ext>
          </c:extLst>
        </c:ser>
        <c:ser>
          <c:idx val="1"/>
          <c:order val="1"/>
          <c:tx>
            <c:strRef>
              <c:f>Sheet2!$A$75</c:f>
              <c:strCache>
                <c:ptCount val="1"/>
                <c:pt idx="0">
                  <c:v>US Federal Government</c:v>
                </c:pt>
              </c:strCache>
            </c:strRef>
          </c:tx>
          <c:spPr>
            <a:ln w="28575" cap="rnd">
              <a:solidFill>
                <a:schemeClr val="accent2"/>
              </a:solidFill>
              <a:round/>
            </a:ln>
            <a:effectLst/>
          </c:spPr>
          <c:marker>
            <c:symbol val="none"/>
          </c:marker>
          <c:cat>
            <c:strRef>
              <c:f>Sheet2!$B$71:$T$71</c:f>
              <c:strCache>
                <c:ptCount val="19"/>
                <c:pt idx="0">
                  <c:v>1998-99</c:v>
                </c:pt>
                <c:pt idx="1">
                  <c:v>1999-2000</c:v>
                </c:pt>
                <c:pt idx="2">
                  <c:v>2000-01</c:v>
                </c:pt>
                <c:pt idx="3">
                  <c:v>2001-02</c:v>
                </c:pt>
                <c:pt idx="4">
                  <c:v>2002-03</c:v>
                </c:pt>
                <c:pt idx="5">
                  <c:v>2003-04</c:v>
                </c:pt>
                <c:pt idx="6">
                  <c:v>2004-05</c:v>
                </c:pt>
                <c:pt idx="7">
                  <c:v>2005-06</c:v>
                </c:pt>
                <c:pt idx="8">
                  <c:v>2006-07</c:v>
                </c:pt>
                <c:pt idx="9">
                  <c:v>2007-08</c:v>
                </c:pt>
                <c:pt idx="10">
                  <c:v>2008-09</c:v>
                </c:pt>
                <c:pt idx="11">
                  <c:v>2009-10</c:v>
                </c:pt>
                <c:pt idx="12">
                  <c:v>2010-11</c:v>
                </c:pt>
                <c:pt idx="13">
                  <c:v>2011-12</c:v>
                </c:pt>
                <c:pt idx="14">
                  <c:v>2012-13</c:v>
                </c:pt>
                <c:pt idx="15">
                  <c:v>2013-14</c:v>
                </c:pt>
                <c:pt idx="16">
                  <c:v>2014-15</c:v>
                </c:pt>
                <c:pt idx="17">
                  <c:v>2015-16</c:v>
                </c:pt>
                <c:pt idx="18">
                  <c:v>2016-17</c:v>
                </c:pt>
              </c:strCache>
            </c:strRef>
          </c:cat>
          <c:val>
            <c:numRef>
              <c:f>Sheet2!$B$75:$T$75</c:f>
              <c:numCache>
                <c:formatCode>0.00%</c:formatCode>
                <c:ptCount val="19"/>
                <c:pt idx="0">
                  <c:v>0.1159</c:v>
                </c:pt>
                <c:pt idx="1">
                  <c:v>0.1142</c:v>
                </c:pt>
                <c:pt idx="2">
                  <c:v>0.10290000000000001</c:v>
                </c:pt>
                <c:pt idx="3">
                  <c:v>0.1048</c:v>
                </c:pt>
                <c:pt idx="4">
                  <c:v>0.10299999999999999</c:v>
                </c:pt>
                <c:pt idx="5">
                  <c:v>0.1052</c:v>
                </c:pt>
                <c:pt idx="6">
                  <c:v>0.1089</c:v>
                </c:pt>
                <c:pt idx="7">
                  <c:v>0.1036</c:v>
                </c:pt>
                <c:pt idx="8">
                  <c:v>0.1002</c:v>
                </c:pt>
                <c:pt idx="9">
                  <c:v>0.1066</c:v>
                </c:pt>
                <c:pt idx="10">
                  <c:v>0.10589999999999999</c:v>
                </c:pt>
                <c:pt idx="11">
                  <c:v>9.8000000000000004E-2</c:v>
                </c:pt>
                <c:pt idx="12">
                  <c:v>9.0899999999999995E-2</c:v>
                </c:pt>
                <c:pt idx="13">
                  <c:v>9.8699999999999996E-2</c:v>
                </c:pt>
                <c:pt idx="14">
                  <c:v>0.10340000000000001</c:v>
                </c:pt>
                <c:pt idx="15">
                  <c:v>0.1065</c:v>
                </c:pt>
                <c:pt idx="16">
                  <c:v>0.1043</c:v>
                </c:pt>
                <c:pt idx="17">
                  <c:v>0.1048</c:v>
                </c:pt>
                <c:pt idx="18">
                  <c:v>0.1016</c:v>
                </c:pt>
              </c:numCache>
            </c:numRef>
          </c:val>
          <c:smooth val="0"/>
          <c:extLst>
            <c:ext xmlns:c16="http://schemas.microsoft.com/office/drawing/2014/chart" uri="{C3380CC4-5D6E-409C-BE32-E72D297353CC}">
              <c16:uniqueId val="{00000001-7D37-DD48-BC70-C56AEEA966A2}"/>
            </c:ext>
          </c:extLst>
        </c:ser>
        <c:dLbls>
          <c:showLegendKey val="0"/>
          <c:showVal val="0"/>
          <c:showCatName val="0"/>
          <c:showSerName val="0"/>
          <c:showPercent val="0"/>
          <c:showBubbleSize val="0"/>
        </c:dLbls>
        <c:smooth val="0"/>
        <c:axId val="-2139827504"/>
        <c:axId val="-2115488016"/>
      </c:lineChart>
      <c:catAx>
        <c:axId val="-21398275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en-US"/>
          </a:p>
        </c:txPr>
        <c:crossAx val="-2115488016"/>
        <c:crosses val="autoZero"/>
        <c:auto val="1"/>
        <c:lblAlgn val="ctr"/>
        <c:lblOffset val="100"/>
        <c:noMultiLvlLbl val="0"/>
      </c:catAx>
      <c:valAx>
        <c:axId val="-2115488016"/>
        <c:scaling>
          <c:orientation val="minMax"/>
          <c:max val="0.12"/>
          <c:min val="0.03"/>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crossAx val="-21398275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000"/>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'[2017-18-SRI-Budget-Tables.XLSX]ChartData'!$B$36</c:f>
              <c:strCache>
                <c:ptCount val="1"/>
                <c:pt idx="0">
                  <c:v>Multisector (Rural)</c:v>
                </c:pt>
              </c:strCache>
            </c:strRef>
          </c:tx>
          <c:spPr>
            <a:ln w="28575" cap="rnd">
              <a:solidFill>
                <a:schemeClr val="accent1"/>
              </a:solidFill>
              <a:round/>
            </a:ln>
            <a:effectLst/>
          </c:spPr>
          <c:marker>
            <c:symbol val="none"/>
          </c:marker>
          <c:dPt>
            <c:idx val="38"/>
            <c:marker>
              <c:symbol val="none"/>
            </c:marker>
            <c:bubble3D val="0"/>
            <c:extLst>
              <c:ext xmlns:c16="http://schemas.microsoft.com/office/drawing/2014/chart" uri="{C3380CC4-5D6E-409C-BE32-E72D297353CC}">
                <c16:uniqueId val="{00000000-8E55-B44B-9687-EE172081AB0C}"/>
              </c:ext>
            </c:extLst>
          </c:dPt>
          <c:dPt>
            <c:idx val="39"/>
            <c:marker>
              <c:symbol val="none"/>
            </c:marker>
            <c:bubble3D val="0"/>
            <c:extLst>
              <c:ext xmlns:c16="http://schemas.microsoft.com/office/drawing/2014/chart" uri="{C3380CC4-5D6E-409C-BE32-E72D297353CC}">
                <c16:uniqueId val="{00000001-8E55-B44B-9687-EE172081AB0C}"/>
              </c:ext>
            </c:extLst>
          </c:dPt>
          <c:cat>
            <c:strRef>
              <c:f>[1]ChartData!$C$35:$AP$35</c:f>
              <c:strCache>
                <c:ptCount val="40"/>
                <c:pt idx="0">
                  <c:v>1978-79</c:v>
                </c:pt>
                <c:pt idx="1">
                  <c:v>1979-80</c:v>
                </c:pt>
                <c:pt idx="2">
                  <c:v>1980-81</c:v>
                </c:pt>
                <c:pt idx="3">
                  <c:v>1981-82</c:v>
                </c:pt>
                <c:pt idx="4">
                  <c:v>1982-83</c:v>
                </c:pt>
                <c:pt idx="5">
                  <c:v>1983-84</c:v>
                </c:pt>
                <c:pt idx="6">
                  <c:v>1984-85</c:v>
                </c:pt>
                <c:pt idx="7">
                  <c:v>1985-86</c:v>
                </c:pt>
                <c:pt idx="8">
                  <c:v>1986-87</c:v>
                </c:pt>
                <c:pt idx="9">
                  <c:v>1987-88</c:v>
                </c:pt>
                <c:pt idx="10">
                  <c:v>1988-89</c:v>
                </c:pt>
                <c:pt idx="11">
                  <c:v>1989-90</c:v>
                </c:pt>
                <c:pt idx="12">
                  <c:v>1990-91</c:v>
                </c:pt>
                <c:pt idx="13">
                  <c:v>1991-92</c:v>
                </c:pt>
                <c:pt idx="14">
                  <c:v>1992-93</c:v>
                </c:pt>
                <c:pt idx="15">
                  <c:v>1993-94</c:v>
                </c:pt>
                <c:pt idx="16">
                  <c:v>1994-95</c:v>
                </c:pt>
                <c:pt idx="17">
                  <c:v>1995-96</c:v>
                </c:pt>
                <c:pt idx="18">
                  <c:v>1996-97</c:v>
                </c:pt>
                <c:pt idx="19">
                  <c:v>1997-98</c:v>
                </c:pt>
                <c:pt idx="20">
                  <c:v>1998-99</c:v>
                </c:pt>
                <c:pt idx="21">
                  <c:v>1999-00</c:v>
                </c:pt>
                <c:pt idx="22">
                  <c:v>2000-01</c:v>
                </c:pt>
                <c:pt idx="23">
                  <c:v>2001-02</c:v>
                </c:pt>
                <c:pt idx="24">
                  <c:v>2002-03</c:v>
                </c:pt>
                <c:pt idx="25">
                  <c:v>2003-04</c:v>
                </c:pt>
                <c:pt idx="26">
                  <c:v>2004-05</c:v>
                </c:pt>
                <c:pt idx="27">
                  <c:v>2005-06</c:v>
                </c:pt>
                <c:pt idx="28">
                  <c:v>2006-07</c:v>
                </c:pt>
                <c:pt idx="29">
                  <c:v>2007-08</c:v>
                </c:pt>
                <c:pt idx="30">
                  <c:v>2008-09</c:v>
                </c:pt>
                <c:pt idx="31">
                  <c:v>2009-10</c:v>
                </c:pt>
                <c:pt idx="32">
                  <c:v>2010-11</c:v>
                </c:pt>
                <c:pt idx="33">
                  <c:v>2011-12</c:v>
                </c:pt>
                <c:pt idx="34">
                  <c:v>2012-13</c:v>
                </c:pt>
                <c:pt idx="35">
                  <c:v>2013-14</c:v>
                </c:pt>
                <c:pt idx="36">
                  <c:v>2014-15</c:v>
                </c:pt>
                <c:pt idx="37">
                  <c:v>2015-16</c:v>
                </c:pt>
                <c:pt idx="38">
                  <c:v>2016-17</c:v>
                </c:pt>
                <c:pt idx="39">
                  <c:v>2017-18</c:v>
                </c:pt>
              </c:strCache>
            </c:strRef>
          </c:cat>
          <c:val>
            <c:numRef>
              <c:f>[1]ChartData!$C$36:$AP$36</c:f>
              <c:numCache>
                <c:formatCode>General</c:formatCode>
                <c:ptCount val="40"/>
                <c:pt idx="0">
                  <c:v>74.78</c:v>
                </c:pt>
                <c:pt idx="1">
                  <c:v>108.06</c:v>
                </c:pt>
                <c:pt idx="2">
                  <c:v>77.94</c:v>
                </c:pt>
                <c:pt idx="3">
                  <c:v>80.92</c:v>
                </c:pt>
                <c:pt idx="4">
                  <c:v>82.09</c:v>
                </c:pt>
                <c:pt idx="5">
                  <c:v>96.12</c:v>
                </c:pt>
                <c:pt idx="6">
                  <c:v>109.26</c:v>
                </c:pt>
                <c:pt idx="7">
                  <c:v>119.15</c:v>
                </c:pt>
                <c:pt idx="8">
                  <c:v>148.6</c:v>
                </c:pt>
                <c:pt idx="9">
                  <c:v>118</c:v>
                </c:pt>
                <c:pt idx="10">
                  <c:v>145.04</c:v>
                </c:pt>
                <c:pt idx="11">
                  <c:v>153.63999999999999</c:v>
                </c:pt>
                <c:pt idx="12">
                  <c:v>149.18</c:v>
                </c:pt>
                <c:pt idx="13">
                  <c:v>168.75</c:v>
                </c:pt>
                <c:pt idx="14">
                  <c:v>196.1</c:v>
                </c:pt>
                <c:pt idx="15">
                  <c:v>205.26</c:v>
                </c:pt>
                <c:pt idx="16">
                  <c:v>224.19</c:v>
                </c:pt>
                <c:pt idx="17">
                  <c:v>211.54</c:v>
                </c:pt>
                <c:pt idx="18">
                  <c:v>207.92</c:v>
                </c:pt>
                <c:pt idx="19">
                  <c:v>229.2</c:v>
                </c:pt>
                <c:pt idx="20">
                  <c:v>243.83</c:v>
                </c:pt>
                <c:pt idx="21">
                  <c:v>219.02</c:v>
                </c:pt>
                <c:pt idx="22">
                  <c:v>213.77</c:v>
                </c:pt>
                <c:pt idx="23">
                  <c:v>290.44</c:v>
                </c:pt>
                <c:pt idx="24">
                  <c:v>291.66000000000008</c:v>
                </c:pt>
                <c:pt idx="25">
                  <c:v>312.45999999999992</c:v>
                </c:pt>
                <c:pt idx="26">
                  <c:v>305.5</c:v>
                </c:pt>
                <c:pt idx="27">
                  <c:v>300.52</c:v>
                </c:pt>
                <c:pt idx="28">
                  <c:v>291.77999999999992</c:v>
                </c:pt>
                <c:pt idx="29">
                  <c:v>282.33999999999992</c:v>
                </c:pt>
                <c:pt idx="30">
                  <c:v>270.55</c:v>
                </c:pt>
                <c:pt idx="31">
                  <c:v>248.9</c:v>
                </c:pt>
                <c:pt idx="32">
                  <c:v>224.19</c:v>
                </c:pt>
                <c:pt idx="33">
                  <c:v>271.89999999999992</c:v>
                </c:pt>
                <c:pt idx="34">
                  <c:v>261.08</c:v>
                </c:pt>
                <c:pt idx="35">
                  <c:v>321.29000000000002</c:v>
                </c:pt>
                <c:pt idx="36">
                  <c:v>324.61</c:v>
                </c:pt>
                <c:pt idx="37">
                  <c:v>323.64999999999998</c:v>
                </c:pt>
                <c:pt idx="38">
                  <c:v>333.94</c:v>
                </c:pt>
                <c:pt idx="39">
                  <c:v>330.74</c:v>
                </c:pt>
              </c:numCache>
            </c:numRef>
          </c:val>
          <c:smooth val="0"/>
          <c:extLst>
            <c:ext xmlns:c16="http://schemas.microsoft.com/office/drawing/2014/chart" uri="{C3380CC4-5D6E-409C-BE32-E72D297353CC}">
              <c16:uniqueId val="{00000002-8E55-B44B-9687-EE172081AB0C}"/>
            </c:ext>
          </c:extLst>
        </c:ser>
        <c:ser>
          <c:idx val="1"/>
          <c:order val="1"/>
          <c:tx>
            <c:strRef>
              <c:f>'[2017-18-SRI-Budget-Tables.XLSX]ChartData'!$B$37</c:f>
              <c:strCache>
                <c:ptCount val="1"/>
                <c:pt idx="0">
                  <c:v>Multisector (Other R&amp;D)</c:v>
                </c:pt>
              </c:strCache>
            </c:strRef>
          </c:tx>
          <c:spPr>
            <a:ln w="28575" cap="rnd">
              <a:solidFill>
                <a:schemeClr val="accent2"/>
              </a:solidFill>
              <a:round/>
            </a:ln>
            <a:effectLst/>
          </c:spPr>
          <c:marker>
            <c:symbol val="none"/>
          </c:marker>
          <c:dPt>
            <c:idx val="38"/>
            <c:marker>
              <c:symbol val="none"/>
            </c:marker>
            <c:bubble3D val="0"/>
            <c:extLst>
              <c:ext xmlns:c16="http://schemas.microsoft.com/office/drawing/2014/chart" uri="{C3380CC4-5D6E-409C-BE32-E72D297353CC}">
                <c16:uniqueId val="{00000003-8E55-B44B-9687-EE172081AB0C}"/>
              </c:ext>
            </c:extLst>
          </c:dPt>
          <c:dPt>
            <c:idx val="39"/>
            <c:marker>
              <c:symbol val="none"/>
            </c:marker>
            <c:bubble3D val="0"/>
            <c:extLst>
              <c:ext xmlns:c16="http://schemas.microsoft.com/office/drawing/2014/chart" uri="{C3380CC4-5D6E-409C-BE32-E72D297353CC}">
                <c16:uniqueId val="{00000004-8E55-B44B-9687-EE172081AB0C}"/>
              </c:ext>
            </c:extLst>
          </c:dPt>
          <c:cat>
            <c:strRef>
              <c:f>[1]ChartData!$C$35:$AP$35</c:f>
              <c:strCache>
                <c:ptCount val="40"/>
                <c:pt idx="0">
                  <c:v>1978-79</c:v>
                </c:pt>
                <c:pt idx="1">
                  <c:v>1979-80</c:v>
                </c:pt>
                <c:pt idx="2">
                  <c:v>1980-81</c:v>
                </c:pt>
                <c:pt idx="3">
                  <c:v>1981-82</c:v>
                </c:pt>
                <c:pt idx="4">
                  <c:v>1982-83</c:v>
                </c:pt>
                <c:pt idx="5">
                  <c:v>1983-84</c:v>
                </c:pt>
                <c:pt idx="6">
                  <c:v>1984-85</c:v>
                </c:pt>
                <c:pt idx="7">
                  <c:v>1985-86</c:v>
                </c:pt>
                <c:pt idx="8">
                  <c:v>1986-87</c:v>
                </c:pt>
                <c:pt idx="9">
                  <c:v>1987-88</c:v>
                </c:pt>
                <c:pt idx="10">
                  <c:v>1988-89</c:v>
                </c:pt>
                <c:pt idx="11">
                  <c:v>1989-90</c:v>
                </c:pt>
                <c:pt idx="12">
                  <c:v>1990-91</c:v>
                </c:pt>
                <c:pt idx="13">
                  <c:v>1991-92</c:v>
                </c:pt>
                <c:pt idx="14">
                  <c:v>1992-93</c:v>
                </c:pt>
                <c:pt idx="15">
                  <c:v>1993-94</c:v>
                </c:pt>
                <c:pt idx="16">
                  <c:v>1994-95</c:v>
                </c:pt>
                <c:pt idx="17">
                  <c:v>1995-96</c:v>
                </c:pt>
                <c:pt idx="18">
                  <c:v>1996-97</c:v>
                </c:pt>
                <c:pt idx="19">
                  <c:v>1997-98</c:v>
                </c:pt>
                <c:pt idx="20">
                  <c:v>1998-99</c:v>
                </c:pt>
                <c:pt idx="21">
                  <c:v>1999-00</c:v>
                </c:pt>
                <c:pt idx="22">
                  <c:v>2000-01</c:v>
                </c:pt>
                <c:pt idx="23">
                  <c:v>2001-02</c:v>
                </c:pt>
                <c:pt idx="24">
                  <c:v>2002-03</c:v>
                </c:pt>
                <c:pt idx="25">
                  <c:v>2003-04</c:v>
                </c:pt>
                <c:pt idx="26">
                  <c:v>2004-05</c:v>
                </c:pt>
                <c:pt idx="27">
                  <c:v>2005-06</c:v>
                </c:pt>
                <c:pt idx="28">
                  <c:v>2006-07</c:v>
                </c:pt>
                <c:pt idx="29">
                  <c:v>2007-08</c:v>
                </c:pt>
                <c:pt idx="30">
                  <c:v>2008-09</c:v>
                </c:pt>
                <c:pt idx="31">
                  <c:v>2009-10</c:v>
                </c:pt>
                <c:pt idx="32">
                  <c:v>2010-11</c:v>
                </c:pt>
                <c:pt idx="33">
                  <c:v>2011-12</c:v>
                </c:pt>
                <c:pt idx="34">
                  <c:v>2012-13</c:v>
                </c:pt>
                <c:pt idx="35">
                  <c:v>2013-14</c:v>
                </c:pt>
                <c:pt idx="36">
                  <c:v>2014-15</c:v>
                </c:pt>
                <c:pt idx="37">
                  <c:v>2015-16</c:v>
                </c:pt>
                <c:pt idx="38">
                  <c:v>2016-17</c:v>
                </c:pt>
                <c:pt idx="39">
                  <c:v>2017-18</c:v>
                </c:pt>
              </c:strCache>
            </c:strRef>
          </c:cat>
          <c:val>
            <c:numRef>
              <c:f>[1]ChartData!$C$37:$AP$37</c:f>
              <c:numCache>
                <c:formatCode>General</c:formatCode>
                <c:ptCount val="40"/>
                <c:pt idx="0">
                  <c:v>29.65</c:v>
                </c:pt>
                <c:pt idx="1">
                  <c:v>29.03</c:v>
                </c:pt>
                <c:pt idx="2">
                  <c:v>24.26</c:v>
                </c:pt>
                <c:pt idx="3">
                  <c:v>8.8800000000000008</c:v>
                </c:pt>
                <c:pt idx="4">
                  <c:v>7.46</c:v>
                </c:pt>
                <c:pt idx="5">
                  <c:v>9.42</c:v>
                </c:pt>
                <c:pt idx="6">
                  <c:v>6.6099999999999977</c:v>
                </c:pt>
                <c:pt idx="7">
                  <c:v>7.21</c:v>
                </c:pt>
                <c:pt idx="8">
                  <c:v>5.58</c:v>
                </c:pt>
                <c:pt idx="9">
                  <c:v>6.07</c:v>
                </c:pt>
                <c:pt idx="10">
                  <c:v>8.33</c:v>
                </c:pt>
                <c:pt idx="11">
                  <c:v>12.9</c:v>
                </c:pt>
                <c:pt idx="12">
                  <c:v>17.239999999999991</c:v>
                </c:pt>
                <c:pt idx="13">
                  <c:v>29.82</c:v>
                </c:pt>
                <c:pt idx="14">
                  <c:v>13.3</c:v>
                </c:pt>
                <c:pt idx="15">
                  <c:v>13.33</c:v>
                </c:pt>
                <c:pt idx="16">
                  <c:v>13.21</c:v>
                </c:pt>
                <c:pt idx="17">
                  <c:v>23.91</c:v>
                </c:pt>
                <c:pt idx="18">
                  <c:v>40.76</c:v>
                </c:pt>
                <c:pt idx="19">
                  <c:v>46.82</c:v>
                </c:pt>
                <c:pt idx="20">
                  <c:v>19.64</c:v>
                </c:pt>
                <c:pt idx="21">
                  <c:v>11.09</c:v>
                </c:pt>
                <c:pt idx="22">
                  <c:v>10.14</c:v>
                </c:pt>
                <c:pt idx="23">
                  <c:v>15.29</c:v>
                </c:pt>
                <c:pt idx="24">
                  <c:v>63.87</c:v>
                </c:pt>
                <c:pt idx="25">
                  <c:v>82.06</c:v>
                </c:pt>
                <c:pt idx="26">
                  <c:v>94.63</c:v>
                </c:pt>
                <c:pt idx="27">
                  <c:v>146.63999999999999</c:v>
                </c:pt>
                <c:pt idx="28">
                  <c:v>237.8</c:v>
                </c:pt>
                <c:pt idx="29">
                  <c:v>256.58</c:v>
                </c:pt>
                <c:pt idx="30">
                  <c:v>298.83999999999992</c:v>
                </c:pt>
                <c:pt idx="31">
                  <c:v>524.48</c:v>
                </c:pt>
                <c:pt idx="32">
                  <c:v>701.43999999999983</c:v>
                </c:pt>
                <c:pt idx="33">
                  <c:v>487.1</c:v>
                </c:pt>
                <c:pt idx="34">
                  <c:v>483</c:v>
                </c:pt>
                <c:pt idx="35">
                  <c:v>269.70999999999992</c:v>
                </c:pt>
                <c:pt idx="36">
                  <c:v>248.06</c:v>
                </c:pt>
                <c:pt idx="37">
                  <c:v>302.52999999999992</c:v>
                </c:pt>
                <c:pt idx="38">
                  <c:v>199.3</c:v>
                </c:pt>
                <c:pt idx="39">
                  <c:v>178.28</c:v>
                </c:pt>
              </c:numCache>
            </c:numRef>
          </c:val>
          <c:smooth val="0"/>
          <c:extLst>
            <c:ext xmlns:c16="http://schemas.microsoft.com/office/drawing/2014/chart" uri="{C3380CC4-5D6E-409C-BE32-E72D297353CC}">
              <c16:uniqueId val="{00000005-8E55-B44B-9687-EE172081AB0C}"/>
            </c:ext>
          </c:extLst>
        </c:ser>
        <c:ser>
          <c:idx val="2"/>
          <c:order val="2"/>
          <c:tx>
            <c:strRef>
              <c:f>'[2017-18-SRI-Budget-Tables.XLSX]ChartData'!$B$38</c:f>
              <c:strCache>
                <c:ptCount val="1"/>
                <c:pt idx="0">
                  <c:v>Industry R&amp;D Tax Measures</c:v>
                </c:pt>
              </c:strCache>
            </c:strRef>
          </c:tx>
          <c:spPr>
            <a:ln w="28575" cap="rnd">
              <a:solidFill>
                <a:schemeClr val="accent3"/>
              </a:solidFill>
              <a:round/>
            </a:ln>
            <a:effectLst/>
          </c:spPr>
          <c:marker>
            <c:symbol val="none"/>
          </c:marker>
          <c:dPt>
            <c:idx val="38"/>
            <c:marker>
              <c:symbol val="none"/>
            </c:marker>
            <c:bubble3D val="0"/>
            <c:extLst>
              <c:ext xmlns:c16="http://schemas.microsoft.com/office/drawing/2014/chart" uri="{C3380CC4-5D6E-409C-BE32-E72D297353CC}">
                <c16:uniqueId val="{00000006-8E55-B44B-9687-EE172081AB0C}"/>
              </c:ext>
            </c:extLst>
          </c:dPt>
          <c:dPt>
            <c:idx val="39"/>
            <c:marker>
              <c:symbol val="none"/>
            </c:marker>
            <c:bubble3D val="0"/>
            <c:extLst>
              <c:ext xmlns:c16="http://schemas.microsoft.com/office/drawing/2014/chart" uri="{C3380CC4-5D6E-409C-BE32-E72D297353CC}">
                <c16:uniqueId val="{00000007-8E55-B44B-9687-EE172081AB0C}"/>
              </c:ext>
            </c:extLst>
          </c:dPt>
          <c:cat>
            <c:strRef>
              <c:f>[1]ChartData!$C$35:$AP$35</c:f>
              <c:strCache>
                <c:ptCount val="40"/>
                <c:pt idx="0">
                  <c:v>1978-79</c:v>
                </c:pt>
                <c:pt idx="1">
                  <c:v>1979-80</c:v>
                </c:pt>
                <c:pt idx="2">
                  <c:v>1980-81</c:v>
                </c:pt>
                <c:pt idx="3">
                  <c:v>1981-82</c:v>
                </c:pt>
                <c:pt idx="4">
                  <c:v>1982-83</c:v>
                </c:pt>
                <c:pt idx="5">
                  <c:v>1983-84</c:v>
                </c:pt>
                <c:pt idx="6">
                  <c:v>1984-85</c:v>
                </c:pt>
                <c:pt idx="7">
                  <c:v>1985-86</c:v>
                </c:pt>
                <c:pt idx="8">
                  <c:v>1986-87</c:v>
                </c:pt>
                <c:pt idx="9">
                  <c:v>1987-88</c:v>
                </c:pt>
                <c:pt idx="10">
                  <c:v>1988-89</c:v>
                </c:pt>
                <c:pt idx="11">
                  <c:v>1989-90</c:v>
                </c:pt>
                <c:pt idx="12">
                  <c:v>1990-91</c:v>
                </c:pt>
                <c:pt idx="13">
                  <c:v>1991-92</c:v>
                </c:pt>
                <c:pt idx="14">
                  <c:v>1992-93</c:v>
                </c:pt>
                <c:pt idx="15">
                  <c:v>1993-94</c:v>
                </c:pt>
                <c:pt idx="16">
                  <c:v>1994-95</c:v>
                </c:pt>
                <c:pt idx="17">
                  <c:v>1995-96</c:v>
                </c:pt>
                <c:pt idx="18">
                  <c:v>1996-97</c:v>
                </c:pt>
                <c:pt idx="19">
                  <c:v>1997-98</c:v>
                </c:pt>
                <c:pt idx="20">
                  <c:v>1998-99</c:v>
                </c:pt>
                <c:pt idx="21">
                  <c:v>1999-00</c:v>
                </c:pt>
                <c:pt idx="22">
                  <c:v>2000-01</c:v>
                </c:pt>
                <c:pt idx="23">
                  <c:v>2001-02</c:v>
                </c:pt>
                <c:pt idx="24">
                  <c:v>2002-03</c:v>
                </c:pt>
                <c:pt idx="25">
                  <c:v>2003-04</c:v>
                </c:pt>
                <c:pt idx="26">
                  <c:v>2004-05</c:v>
                </c:pt>
                <c:pt idx="27">
                  <c:v>2005-06</c:v>
                </c:pt>
                <c:pt idx="28">
                  <c:v>2006-07</c:v>
                </c:pt>
                <c:pt idx="29">
                  <c:v>2007-08</c:v>
                </c:pt>
                <c:pt idx="30">
                  <c:v>2008-09</c:v>
                </c:pt>
                <c:pt idx="31">
                  <c:v>2009-10</c:v>
                </c:pt>
                <c:pt idx="32">
                  <c:v>2010-11</c:v>
                </c:pt>
                <c:pt idx="33">
                  <c:v>2011-12</c:v>
                </c:pt>
                <c:pt idx="34">
                  <c:v>2012-13</c:v>
                </c:pt>
                <c:pt idx="35">
                  <c:v>2013-14</c:v>
                </c:pt>
                <c:pt idx="36">
                  <c:v>2014-15</c:v>
                </c:pt>
                <c:pt idx="37">
                  <c:v>2015-16</c:v>
                </c:pt>
                <c:pt idx="38">
                  <c:v>2016-17</c:v>
                </c:pt>
                <c:pt idx="39">
                  <c:v>2017-18</c:v>
                </c:pt>
              </c:strCache>
            </c:strRef>
          </c:cat>
          <c:val>
            <c:numRef>
              <c:f>[1]ChartData!$C$38:$AP$38</c:f>
              <c:numCache>
                <c:formatCode>General</c:formatCode>
                <c:ptCount val="40"/>
                <c:pt idx="0">
                  <c:v>#N/A</c:v>
                </c:pt>
                <c:pt idx="1">
                  <c:v>#N/A</c:v>
                </c:pt>
                <c:pt idx="2">
                  <c:v>#N/A</c:v>
                </c:pt>
                <c:pt idx="3">
                  <c:v>#N/A</c:v>
                </c:pt>
                <c:pt idx="4">
                  <c:v>#N/A</c:v>
                </c:pt>
                <c:pt idx="5">
                  <c:v>#N/A</c:v>
                </c:pt>
                <c:pt idx="6">
                  <c:v>52.91</c:v>
                </c:pt>
                <c:pt idx="7">
                  <c:v>415.42</c:v>
                </c:pt>
                <c:pt idx="8">
                  <c:v>479.07</c:v>
                </c:pt>
                <c:pt idx="9">
                  <c:v>509.76</c:v>
                </c:pt>
                <c:pt idx="10">
                  <c:v>412.7</c:v>
                </c:pt>
                <c:pt idx="11">
                  <c:v>547.66</c:v>
                </c:pt>
                <c:pt idx="12">
                  <c:v>653.35999999999979</c:v>
                </c:pt>
                <c:pt idx="13">
                  <c:v>771.42999999999984</c:v>
                </c:pt>
                <c:pt idx="14">
                  <c:v>895.39</c:v>
                </c:pt>
                <c:pt idx="15">
                  <c:v>1201.75</c:v>
                </c:pt>
                <c:pt idx="16">
                  <c:v>1197.26</c:v>
                </c:pt>
                <c:pt idx="17">
                  <c:v>1379.6</c:v>
                </c:pt>
                <c:pt idx="18">
                  <c:v>866.3399999999998</c:v>
                </c:pt>
                <c:pt idx="19">
                  <c:v>685.15</c:v>
                </c:pt>
                <c:pt idx="20">
                  <c:v>600.65</c:v>
                </c:pt>
                <c:pt idx="21">
                  <c:v>729</c:v>
                </c:pt>
                <c:pt idx="22">
                  <c:v>695.92</c:v>
                </c:pt>
                <c:pt idx="23">
                  <c:v>544.12</c:v>
                </c:pt>
                <c:pt idx="24">
                  <c:v>837.38</c:v>
                </c:pt>
                <c:pt idx="25">
                  <c:v>918.51</c:v>
                </c:pt>
                <c:pt idx="26">
                  <c:v>970.71</c:v>
                </c:pt>
                <c:pt idx="27">
                  <c:v>1136.8800000000001</c:v>
                </c:pt>
                <c:pt idx="28">
                  <c:v>1213.77</c:v>
                </c:pt>
                <c:pt idx="29">
                  <c:v>1427.25</c:v>
                </c:pt>
                <c:pt idx="30">
                  <c:v>1926.21</c:v>
                </c:pt>
                <c:pt idx="31">
                  <c:v>1922.66</c:v>
                </c:pt>
                <c:pt idx="32">
                  <c:v>1945.59</c:v>
                </c:pt>
                <c:pt idx="33">
                  <c:v>2966.8</c:v>
                </c:pt>
                <c:pt idx="34">
                  <c:v>2676.74</c:v>
                </c:pt>
                <c:pt idx="35">
                  <c:v>2821.25</c:v>
                </c:pt>
                <c:pt idx="36">
                  <c:v>2835</c:v>
                </c:pt>
                <c:pt idx="37">
                  <c:v>3273.09</c:v>
                </c:pt>
                <c:pt idx="38">
                  <c:v>3001.43</c:v>
                </c:pt>
                <c:pt idx="39">
                  <c:v>2999.43</c:v>
                </c:pt>
              </c:numCache>
            </c:numRef>
          </c:val>
          <c:smooth val="0"/>
          <c:extLst>
            <c:ext xmlns:c16="http://schemas.microsoft.com/office/drawing/2014/chart" uri="{C3380CC4-5D6E-409C-BE32-E72D297353CC}">
              <c16:uniqueId val="{00000008-8E55-B44B-9687-EE172081AB0C}"/>
            </c:ext>
          </c:extLst>
        </c:ser>
        <c:ser>
          <c:idx val="3"/>
          <c:order val="3"/>
          <c:tx>
            <c:strRef>
              <c:f>'[2017-18-SRI-Budget-Tables.XLSX]ChartData'!$B$39</c:f>
              <c:strCache>
                <c:ptCount val="1"/>
                <c:pt idx="0">
                  <c:v>CSIRO</c:v>
                </c:pt>
              </c:strCache>
            </c:strRef>
          </c:tx>
          <c:spPr>
            <a:ln w="28575" cap="rnd">
              <a:solidFill>
                <a:schemeClr val="accent4"/>
              </a:solidFill>
              <a:round/>
            </a:ln>
            <a:effectLst/>
          </c:spPr>
          <c:marker>
            <c:symbol val="none"/>
          </c:marker>
          <c:dPt>
            <c:idx val="38"/>
            <c:marker>
              <c:symbol val="none"/>
            </c:marker>
            <c:bubble3D val="0"/>
            <c:extLst>
              <c:ext xmlns:c16="http://schemas.microsoft.com/office/drawing/2014/chart" uri="{C3380CC4-5D6E-409C-BE32-E72D297353CC}">
                <c16:uniqueId val="{00000009-8E55-B44B-9687-EE172081AB0C}"/>
              </c:ext>
            </c:extLst>
          </c:dPt>
          <c:dPt>
            <c:idx val="39"/>
            <c:marker>
              <c:symbol val="none"/>
            </c:marker>
            <c:bubble3D val="0"/>
            <c:extLst>
              <c:ext xmlns:c16="http://schemas.microsoft.com/office/drawing/2014/chart" uri="{C3380CC4-5D6E-409C-BE32-E72D297353CC}">
                <c16:uniqueId val="{0000000A-8E55-B44B-9687-EE172081AB0C}"/>
              </c:ext>
            </c:extLst>
          </c:dPt>
          <c:cat>
            <c:strRef>
              <c:f>[1]ChartData!$C$35:$AP$35</c:f>
              <c:strCache>
                <c:ptCount val="40"/>
                <c:pt idx="0">
                  <c:v>1978-79</c:v>
                </c:pt>
                <c:pt idx="1">
                  <c:v>1979-80</c:v>
                </c:pt>
                <c:pt idx="2">
                  <c:v>1980-81</c:v>
                </c:pt>
                <c:pt idx="3">
                  <c:v>1981-82</c:v>
                </c:pt>
                <c:pt idx="4">
                  <c:v>1982-83</c:v>
                </c:pt>
                <c:pt idx="5">
                  <c:v>1983-84</c:v>
                </c:pt>
                <c:pt idx="6">
                  <c:v>1984-85</c:v>
                </c:pt>
                <c:pt idx="7">
                  <c:v>1985-86</c:v>
                </c:pt>
                <c:pt idx="8">
                  <c:v>1986-87</c:v>
                </c:pt>
                <c:pt idx="9">
                  <c:v>1987-88</c:v>
                </c:pt>
                <c:pt idx="10">
                  <c:v>1988-89</c:v>
                </c:pt>
                <c:pt idx="11">
                  <c:v>1989-90</c:v>
                </c:pt>
                <c:pt idx="12">
                  <c:v>1990-91</c:v>
                </c:pt>
                <c:pt idx="13">
                  <c:v>1991-92</c:v>
                </c:pt>
                <c:pt idx="14">
                  <c:v>1992-93</c:v>
                </c:pt>
                <c:pt idx="15">
                  <c:v>1993-94</c:v>
                </c:pt>
                <c:pt idx="16">
                  <c:v>1994-95</c:v>
                </c:pt>
                <c:pt idx="17">
                  <c:v>1995-96</c:v>
                </c:pt>
                <c:pt idx="18">
                  <c:v>1996-97</c:v>
                </c:pt>
                <c:pt idx="19">
                  <c:v>1997-98</c:v>
                </c:pt>
                <c:pt idx="20">
                  <c:v>1998-99</c:v>
                </c:pt>
                <c:pt idx="21">
                  <c:v>1999-00</c:v>
                </c:pt>
                <c:pt idx="22">
                  <c:v>2000-01</c:v>
                </c:pt>
                <c:pt idx="23">
                  <c:v>2001-02</c:v>
                </c:pt>
                <c:pt idx="24">
                  <c:v>2002-03</c:v>
                </c:pt>
                <c:pt idx="25">
                  <c:v>2003-04</c:v>
                </c:pt>
                <c:pt idx="26">
                  <c:v>2004-05</c:v>
                </c:pt>
                <c:pt idx="27">
                  <c:v>2005-06</c:v>
                </c:pt>
                <c:pt idx="28">
                  <c:v>2006-07</c:v>
                </c:pt>
                <c:pt idx="29">
                  <c:v>2007-08</c:v>
                </c:pt>
                <c:pt idx="30">
                  <c:v>2008-09</c:v>
                </c:pt>
                <c:pt idx="31">
                  <c:v>2009-10</c:v>
                </c:pt>
                <c:pt idx="32">
                  <c:v>2010-11</c:v>
                </c:pt>
                <c:pt idx="33">
                  <c:v>2011-12</c:v>
                </c:pt>
                <c:pt idx="34">
                  <c:v>2012-13</c:v>
                </c:pt>
                <c:pt idx="35">
                  <c:v>2013-14</c:v>
                </c:pt>
                <c:pt idx="36">
                  <c:v>2014-15</c:v>
                </c:pt>
                <c:pt idx="37">
                  <c:v>2015-16</c:v>
                </c:pt>
                <c:pt idx="38">
                  <c:v>2016-17</c:v>
                </c:pt>
                <c:pt idx="39">
                  <c:v>2017-18</c:v>
                </c:pt>
              </c:strCache>
            </c:strRef>
          </c:cat>
          <c:val>
            <c:numRef>
              <c:f>[1]ChartData!$C$39:$AP$39</c:f>
              <c:numCache>
                <c:formatCode>General</c:formatCode>
                <c:ptCount val="40"/>
                <c:pt idx="0">
                  <c:v>816.37</c:v>
                </c:pt>
                <c:pt idx="1">
                  <c:v>852.02</c:v>
                </c:pt>
                <c:pt idx="2">
                  <c:v>908.45999999999981</c:v>
                </c:pt>
                <c:pt idx="3">
                  <c:v>956.91</c:v>
                </c:pt>
                <c:pt idx="4">
                  <c:v>979.7</c:v>
                </c:pt>
                <c:pt idx="5">
                  <c:v>918.55999999999983</c:v>
                </c:pt>
                <c:pt idx="6">
                  <c:v>859.52</c:v>
                </c:pt>
                <c:pt idx="7">
                  <c:v>856.47</c:v>
                </c:pt>
                <c:pt idx="8">
                  <c:v>855.3499999999998</c:v>
                </c:pt>
                <c:pt idx="9">
                  <c:v>754.44999999999982</c:v>
                </c:pt>
                <c:pt idx="10">
                  <c:v>690.67</c:v>
                </c:pt>
                <c:pt idx="11">
                  <c:v>701.30999999999983</c:v>
                </c:pt>
                <c:pt idx="12">
                  <c:v>752.09</c:v>
                </c:pt>
                <c:pt idx="13">
                  <c:v>796.95999999999981</c:v>
                </c:pt>
                <c:pt idx="14">
                  <c:v>808.87</c:v>
                </c:pt>
                <c:pt idx="15">
                  <c:v>807.72</c:v>
                </c:pt>
                <c:pt idx="16">
                  <c:v>791.77</c:v>
                </c:pt>
                <c:pt idx="17">
                  <c:v>698.32999999999981</c:v>
                </c:pt>
                <c:pt idx="18">
                  <c:v>733.5</c:v>
                </c:pt>
                <c:pt idx="19">
                  <c:v>761.5</c:v>
                </c:pt>
                <c:pt idx="20">
                  <c:v>771.75</c:v>
                </c:pt>
                <c:pt idx="21">
                  <c:v>792.39</c:v>
                </c:pt>
                <c:pt idx="22">
                  <c:v>751.43999999999983</c:v>
                </c:pt>
                <c:pt idx="23">
                  <c:v>749.41</c:v>
                </c:pt>
                <c:pt idx="24">
                  <c:v>759</c:v>
                </c:pt>
                <c:pt idx="25">
                  <c:v>785.42</c:v>
                </c:pt>
                <c:pt idx="26">
                  <c:v>768.43999999999983</c:v>
                </c:pt>
                <c:pt idx="27">
                  <c:v>752.72</c:v>
                </c:pt>
                <c:pt idx="28">
                  <c:v>736.8399999999998</c:v>
                </c:pt>
                <c:pt idx="29">
                  <c:v>765.7</c:v>
                </c:pt>
                <c:pt idx="30">
                  <c:v>744.26</c:v>
                </c:pt>
                <c:pt idx="31">
                  <c:v>778.65</c:v>
                </c:pt>
                <c:pt idx="32">
                  <c:v>749.80999999999983</c:v>
                </c:pt>
                <c:pt idx="33">
                  <c:v>729.30999999999983</c:v>
                </c:pt>
                <c:pt idx="34">
                  <c:v>738.99</c:v>
                </c:pt>
                <c:pt idx="35">
                  <c:v>772.77</c:v>
                </c:pt>
                <c:pt idx="36">
                  <c:v>745.3</c:v>
                </c:pt>
                <c:pt idx="37">
                  <c:v>753.22</c:v>
                </c:pt>
                <c:pt idx="38">
                  <c:v>760.03</c:v>
                </c:pt>
                <c:pt idx="39">
                  <c:v>758.51</c:v>
                </c:pt>
              </c:numCache>
            </c:numRef>
          </c:val>
          <c:smooth val="0"/>
          <c:extLst>
            <c:ext xmlns:c16="http://schemas.microsoft.com/office/drawing/2014/chart" uri="{C3380CC4-5D6E-409C-BE32-E72D297353CC}">
              <c16:uniqueId val="{0000000B-8E55-B44B-9687-EE172081AB0C}"/>
            </c:ext>
          </c:extLst>
        </c:ser>
        <c:ser>
          <c:idx val="4"/>
          <c:order val="4"/>
          <c:tx>
            <c:strRef>
              <c:f>'[2017-18-SRI-Budget-Tables.XLSX]ChartData'!$B$40</c:f>
              <c:strCache>
                <c:ptCount val="1"/>
                <c:pt idx="0">
                  <c:v>Defence Science and Technology Group</c:v>
                </c:pt>
              </c:strCache>
            </c:strRef>
          </c:tx>
          <c:spPr>
            <a:ln w="28575" cap="rnd">
              <a:solidFill>
                <a:schemeClr val="accent5"/>
              </a:solidFill>
              <a:round/>
            </a:ln>
            <a:effectLst/>
          </c:spPr>
          <c:marker>
            <c:symbol val="none"/>
          </c:marker>
          <c:dPt>
            <c:idx val="38"/>
            <c:marker>
              <c:symbol val="none"/>
            </c:marker>
            <c:bubble3D val="0"/>
            <c:extLst>
              <c:ext xmlns:c16="http://schemas.microsoft.com/office/drawing/2014/chart" uri="{C3380CC4-5D6E-409C-BE32-E72D297353CC}">
                <c16:uniqueId val="{0000000C-8E55-B44B-9687-EE172081AB0C}"/>
              </c:ext>
            </c:extLst>
          </c:dPt>
          <c:dPt>
            <c:idx val="39"/>
            <c:marker>
              <c:symbol val="none"/>
            </c:marker>
            <c:bubble3D val="0"/>
            <c:extLst>
              <c:ext xmlns:c16="http://schemas.microsoft.com/office/drawing/2014/chart" uri="{C3380CC4-5D6E-409C-BE32-E72D297353CC}">
                <c16:uniqueId val="{0000000D-8E55-B44B-9687-EE172081AB0C}"/>
              </c:ext>
            </c:extLst>
          </c:dPt>
          <c:cat>
            <c:strRef>
              <c:f>[1]ChartData!$C$35:$AP$35</c:f>
              <c:strCache>
                <c:ptCount val="40"/>
                <c:pt idx="0">
                  <c:v>1978-79</c:v>
                </c:pt>
                <c:pt idx="1">
                  <c:v>1979-80</c:v>
                </c:pt>
                <c:pt idx="2">
                  <c:v>1980-81</c:v>
                </c:pt>
                <c:pt idx="3">
                  <c:v>1981-82</c:v>
                </c:pt>
                <c:pt idx="4">
                  <c:v>1982-83</c:v>
                </c:pt>
                <c:pt idx="5">
                  <c:v>1983-84</c:v>
                </c:pt>
                <c:pt idx="6">
                  <c:v>1984-85</c:v>
                </c:pt>
                <c:pt idx="7">
                  <c:v>1985-86</c:v>
                </c:pt>
                <c:pt idx="8">
                  <c:v>1986-87</c:v>
                </c:pt>
                <c:pt idx="9">
                  <c:v>1987-88</c:v>
                </c:pt>
                <c:pt idx="10">
                  <c:v>1988-89</c:v>
                </c:pt>
                <c:pt idx="11">
                  <c:v>1989-90</c:v>
                </c:pt>
                <c:pt idx="12">
                  <c:v>1990-91</c:v>
                </c:pt>
                <c:pt idx="13">
                  <c:v>1991-92</c:v>
                </c:pt>
                <c:pt idx="14">
                  <c:v>1992-93</c:v>
                </c:pt>
                <c:pt idx="15">
                  <c:v>1993-94</c:v>
                </c:pt>
                <c:pt idx="16">
                  <c:v>1994-95</c:v>
                </c:pt>
                <c:pt idx="17">
                  <c:v>1995-96</c:v>
                </c:pt>
                <c:pt idx="18">
                  <c:v>1996-97</c:v>
                </c:pt>
                <c:pt idx="19">
                  <c:v>1997-98</c:v>
                </c:pt>
                <c:pt idx="20">
                  <c:v>1998-99</c:v>
                </c:pt>
                <c:pt idx="21">
                  <c:v>1999-00</c:v>
                </c:pt>
                <c:pt idx="22">
                  <c:v>2000-01</c:v>
                </c:pt>
                <c:pt idx="23">
                  <c:v>2001-02</c:v>
                </c:pt>
                <c:pt idx="24">
                  <c:v>2002-03</c:v>
                </c:pt>
                <c:pt idx="25">
                  <c:v>2003-04</c:v>
                </c:pt>
                <c:pt idx="26">
                  <c:v>2004-05</c:v>
                </c:pt>
                <c:pt idx="27">
                  <c:v>2005-06</c:v>
                </c:pt>
                <c:pt idx="28">
                  <c:v>2006-07</c:v>
                </c:pt>
                <c:pt idx="29">
                  <c:v>2007-08</c:v>
                </c:pt>
                <c:pt idx="30">
                  <c:v>2008-09</c:v>
                </c:pt>
                <c:pt idx="31">
                  <c:v>2009-10</c:v>
                </c:pt>
                <c:pt idx="32">
                  <c:v>2010-11</c:v>
                </c:pt>
                <c:pt idx="33">
                  <c:v>2011-12</c:v>
                </c:pt>
                <c:pt idx="34">
                  <c:v>2012-13</c:v>
                </c:pt>
                <c:pt idx="35">
                  <c:v>2013-14</c:v>
                </c:pt>
                <c:pt idx="36">
                  <c:v>2014-15</c:v>
                </c:pt>
                <c:pt idx="37">
                  <c:v>2015-16</c:v>
                </c:pt>
                <c:pt idx="38">
                  <c:v>2016-17</c:v>
                </c:pt>
                <c:pt idx="39">
                  <c:v>2017-18</c:v>
                </c:pt>
              </c:strCache>
            </c:strRef>
          </c:cat>
          <c:val>
            <c:numRef>
              <c:f>[1]ChartData!$C$40:$AP$40</c:f>
              <c:numCache>
                <c:formatCode>General</c:formatCode>
                <c:ptCount val="40"/>
                <c:pt idx="0">
                  <c:v>344.25</c:v>
                </c:pt>
                <c:pt idx="1">
                  <c:v>346.37</c:v>
                </c:pt>
                <c:pt idx="2">
                  <c:v>350.74</c:v>
                </c:pt>
                <c:pt idx="3">
                  <c:v>414.8</c:v>
                </c:pt>
                <c:pt idx="4">
                  <c:v>414.33</c:v>
                </c:pt>
                <c:pt idx="5">
                  <c:v>406.09</c:v>
                </c:pt>
                <c:pt idx="6">
                  <c:v>419.05</c:v>
                </c:pt>
                <c:pt idx="7">
                  <c:v>412.69</c:v>
                </c:pt>
                <c:pt idx="8">
                  <c:v>445.12</c:v>
                </c:pt>
                <c:pt idx="9">
                  <c:v>423.21</c:v>
                </c:pt>
                <c:pt idx="10">
                  <c:v>434.52</c:v>
                </c:pt>
                <c:pt idx="11">
                  <c:v>439.25</c:v>
                </c:pt>
                <c:pt idx="12">
                  <c:v>430.31</c:v>
                </c:pt>
                <c:pt idx="13">
                  <c:v>432.86</c:v>
                </c:pt>
                <c:pt idx="14">
                  <c:v>428.19</c:v>
                </c:pt>
                <c:pt idx="15">
                  <c:v>471.05</c:v>
                </c:pt>
                <c:pt idx="16">
                  <c:v>424.36</c:v>
                </c:pt>
                <c:pt idx="17">
                  <c:v>447.49</c:v>
                </c:pt>
                <c:pt idx="18">
                  <c:v>420.63</c:v>
                </c:pt>
                <c:pt idx="19">
                  <c:v>346</c:v>
                </c:pt>
                <c:pt idx="20">
                  <c:v>359.25</c:v>
                </c:pt>
                <c:pt idx="21">
                  <c:v>376.55</c:v>
                </c:pt>
                <c:pt idx="22">
                  <c:v>394.86</c:v>
                </c:pt>
                <c:pt idx="23">
                  <c:v>404.41</c:v>
                </c:pt>
                <c:pt idx="24">
                  <c:v>404.28</c:v>
                </c:pt>
                <c:pt idx="25">
                  <c:v>405.94</c:v>
                </c:pt>
                <c:pt idx="26">
                  <c:v>419.97</c:v>
                </c:pt>
                <c:pt idx="27">
                  <c:v>445.03</c:v>
                </c:pt>
                <c:pt idx="28">
                  <c:v>492.87</c:v>
                </c:pt>
                <c:pt idx="29">
                  <c:v>468.87</c:v>
                </c:pt>
                <c:pt idx="30">
                  <c:v>418</c:v>
                </c:pt>
                <c:pt idx="31">
                  <c:v>444.02</c:v>
                </c:pt>
                <c:pt idx="32">
                  <c:v>432.97</c:v>
                </c:pt>
                <c:pt idx="33">
                  <c:v>453.63</c:v>
                </c:pt>
                <c:pt idx="34">
                  <c:v>437.13</c:v>
                </c:pt>
                <c:pt idx="35">
                  <c:v>422.71</c:v>
                </c:pt>
                <c:pt idx="36">
                  <c:v>439.77</c:v>
                </c:pt>
                <c:pt idx="37">
                  <c:v>505.51</c:v>
                </c:pt>
                <c:pt idx="38">
                  <c:v>431.99</c:v>
                </c:pt>
                <c:pt idx="39">
                  <c:v>452.11</c:v>
                </c:pt>
              </c:numCache>
            </c:numRef>
          </c:val>
          <c:smooth val="0"/>
          <c:extLst>
            <c:ext xmlns:c16="http://schemas.microsoft.com/office/drawing/2014/chart" uri="{C3380CC4-5D6E-409C-BE32-E72D297353CC}">
              <c16:uniqueId val="{0000000E-8E55-B44B-9687-EE172081AB0C}"/>
            </c:ext>
          </c:extLst>
        </c:ser>
        <c:dLbls>
          <c:showLegendKey val="0"/>
          <c:showVal val="0"/>
          <c:showCatName val="0"/>
          <c:showSerName val="0"/>
          <c:showPercent val="0"/>
          <c:showBubbleSize val="0"/>
        </c:dLbls>
        <c:smooth val="0"/>
        <c:axId val="-2121740704"/>
        <c:axId val="-2121738384"/>
      </c:lineChart>
      <c:catAx>
        <c:axId val="-21217407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21738384"/>
        <c:crosses val="autoZero"/>
        <c:auto val="1"/>
        <c:lblAlgn val="ctr"/>
        <c:lblOffset val="100"/>
        <c:noMultiLvlLbl val="0"/>
      </c:catAx>
      <c:valAx>
        <c:axId val="-212173838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millions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21740704"/>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0"/>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ShareHub Document" ma:contentTypeID="0x0101002825A64A6E1845A99A9D8EE8A5686ECB009B58D7D72C3ED54C851955501673F8AC" ma:contentTypeVersion="12" ma:contentTypeDescription="ShareHub Document" ma:contentTypeScope="" ma:versionID="97f9b7b7c78848d4214b9782eb89bc56">
  <xsd:schema xmlns:xsd="http://www.w3.org/2001/XMLSchema" xmlns:xs="http://www.w3.org/2001/XMLSchema" xmlns:p="http://schemas.microsoft.com/office/2006/metadata/properties" xmlns:ns1="166541c0-0594-4e6a-9105-c24d4b6de6f7" xmlns:ns3="685f9fda-bd71-4433-b331-92feb9553089" targetNamespace="http://schemas.microsoft.com/office/2006/metadata/properties" ma:root="true" ma:fieldsID="76f1aafd45aee4e06fde14cce240cffd" ns1:_="" ns3:_="">
    <xsd:import namespace="166541c0-0594-4e6a-9105-c24d4b6de6f7"/>
    <xsd:import namespace="685f9fda-bd71-4433-b331-92feb9553089"/>
    <xsd:element name="properties">
      <xsd:complexType>
        <xsd:sequence>
          <xsd:element name="documentManagement">
            <xsd:complexType>
              <xsd:all>
                <xsd:element ref="ns1:ShareHubID" minOccurs="0"/>
                <xsd:element ref="ns3:NonRecordJustification" minOccurs="0"/>
                <xsd:element ref="ns1:PMCNotes" minOccurs="0"/>
                <xsd:element ref="ns1:mc5611b894cf49d8aeeb8ebf39dc09bc" minOccurs="0"/>
                <xsd:element ref="ns1:TaxCatchAll" minOccurs="0"/>
                <xsd:element ref="ns1:TaxCatchAllLabel" minOccurs="0"/>
                <xsd:element ref="ns1:jd1c641577414dfdab1686c9d5d0dbd0" minOccurs="0"/>
                <xsd:element ref="ns1:SharedWithUsers" minOccurs="0"/>
                <xsd:element ref="ns1:hc4a8f51d7584793bcee84017ea96cb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6541c0-0594-4e6a-9105-c24d4b6de6f7" elementFormDefault="qualified">
    <xsd:import namespace="http://schemas.microsoft.com/office/2006/documentManagement/types"/>
    <xsd:import namespace="http://schemas.microsoft.com/office/infopath/2007/PartnerControls"/>
    <xsd:element name="ShareHubID" ma:index="0" nillable="true" ma:displayName="Record ID" ma:indexed="true" ma:internalName="ShareHubID">
      <xsd:simpleType>
        <xsd:restriction base="dms:Text">
          <xsd:maxLength value="255"/>
        </xsd:restriction>
      </xsd:simpleType>
    </xsd:element>
    <xsd:element name="PMCNotes" ma:index="6" nillable="true" ma:displayName="Notes" ma:internalName="PMCNotes">
      <xsd:simpleType>
        <xsd:restriction base="dms:Note">
          <xsd:maxLength value="255"/>
        </xsd:restriction>
      </xsd:simpleType>
    </xsd:element>
    <xsd:element name="mc5611b894cf49d8aeeb8ebf39dc09bc" ma:index="8" ma:taxonomy="true" ma:internalName="mc5611b894cf49d8aeeb8ebf39dc09bc" ma:taxonomyFieldName="HPRMSecurityLevel" ma:displayName="Security Classification" ma:default="57;#OFFICIAL|11463c70-78df-4e3b-b0ff-f66cd3cb26ec" ma:fieldId="{6c5611b8-94cf-49d8-aeeb-8ebf39dc09bc}" ma:sspId="fdd71c70-8dda-4116-8995-314ca52d638a" ma:termSetId="ad616a2a-2f34-42df-868f-846f11d5d89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aea88e85-05a7-4360-91dc-760ce9bb3d8d}" ma:internalName="TaxCatchAll" ma:showField="CatchAllData"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ea88e85-05a7-4360-91dc-760ce9bb3d8d}" ma:internalName="TaxCatchAllLabel" ma:readOnly="true" ma:showField="CatchAllDataLabel"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jd1c641577414dfdab1686c9d5d0dbd0" ma:index="12" nillable="true" ma:taxonomy="true" ma:internalName="jd1c641577414dfdab1686c9d5d0dbd0" ma:taxonomyFieldName="HPRMSecurityCaveat" ma:displayName="Information Marker" ma:fieldId="{3d1c6415-7741-4dfd-ab16-86c9d5d0dbd0}" ma:taxonomyMulti="true" ma:sspId="fdd71c70-8dda-4116-8995-314ca52d638a" ma:termSetId="4779c3b8-a320-4a06-b8c8-666ff4292a5a" ma:anchorId="00000000-0000-0000-0000-000000000000" ma:open="false" ma:isKeyword="false">
      <xsd:complexType>
        <xsd:sequence>
          <xsd:element ref="pc:Terms" minOccurs="0" maxOccurs="1"/>
        </xsd:sequence>
      </xsd:complexType>
    </xsd:element>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c4a8f51d7584793bcee84017ea96cb3" ma:index="18" nillable="true" ma:taxonomy="true" ma:internalName="hc4a8f51d7584793bcee84017ea96cb3" ma:taxonomyFieldName="ESearchTags" ma:displayName="Tags" ma:fieldId="{1c4a8f51-d758-4793-bcee-84017ea96cb3}" ma:taxonomyMulti="true" ma:sspId="fdd71c70-8dda-4116-8995-314ca52d638a" ma:termSetId="8f252924-ebd5-4b35-b39d-81596a6204b5"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5f9fda-bd71-4433-b331-92feb9553089" elementFormDefault="qualified">
    <xsd:import namespace="http://schemas.microsoft.com/office/2006/documentManagement/types"/>
    <xsd:import namespace="http://schemas.microsoft.com/office/infopath/2007/PartnerControls"/>
    <xsd:element name="NonRecordJustification" ma:index="5" nillable="true" ma:displayName="Non-record justification" ma:default="None" ma:format="Dropdown" ma:internalName="NonRecordJustification" ma:readOnly="false">
      <xsd:simpleType>
        <xsd:restriction base="dms:Choice">
          <xsd:enumeration value="None"/>
          <xsd:enumeration value="Not defined as a record under the Archives Act of 1983"/>
          <xsd:enumeration value="Duplicate or low value item"/>
          <xsd:enumeration value="Superced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mc5611b894cf49d8aeeb8ebf39dc09bc xmlns="166541c0-0594-4e6a-9105-c24d4b6de6f7">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11463c70-78df-4e3b-b0ff-f66cd3cb26ec</TermId>
        </TermInfo>
      </Terms>
    </mc5611b894cf49d8aeeb8ebf39dc09bc>
    <jd1c641577414dfdab1686c9d5d0dbd0 xmlns="166541c0-0594-4e6a-9105-c24d4b6de6f7">
      <Terms xmlns="http://schemas.microsoft.com/office/infopath/2007/PartnerControls"/>
    </jd1c641577414dfdab1686c9d5d0dbd0>
    <ShareHubID xmlns="166541c0-0594-4e6a-9105-c24d4b6de6f7">DOC19-444961</ShareHubID>
    <TaxCatchAll xmlns="166541c0-0594-4e6a-9105-c24d4b6de6f7">
      <Value>57</Value>
    </TaxCatchAll>
    <hc4a8f51d7584793bcee84017ea96cb3 xmlns="166541c0-0594-4e6a-9105-c24d4b6de6f7">
      <Terms xmlns="http://schemas.microsoft.com/office/infopath/2007/PartnerControls"/>
    </hc4a8f51d7584793bcee84017ea96cb3>
    <PMCNotes xmlns="166541c0-0594-4e6a-9105-c24d4b6de6f7" xsi:nil="true"/>
    <NonRecordJustification xmlns="685f9fda-bd71-4433-b331-92feb9553089">None</NonRecordJustification>
  </documentManagement>
</p:properties>
</file>

<file path=customXml/itemProps1.xml><?xml version="1.0" encoding="utf-8"?>
<ds:datastoreItem xmlns:ds="http://schemas.openxmlformats.org/officeDocument/2006/customXml" ds:itemID="{33E0C2D5-DAF4-1A45-89A2-1EB1159E1D26}">
  <ds:schemaRefs>
    <ds:schemaRef ds:uri="http://schemas.openxmlformats.org/officeDocument/2006/bibliography"/>
  </ds:schemaRefs>
</ds:datastoreItem>
</file>

<file path=customXml/itemProps2.xml><?xml version="1.0" encoding="utf-8"?>
<ds:datastoreItem xmlns:ds="http://schemas.openxmlformats.org/officeDocument/2006/customXml" ds:itemID="{2E882344-73D4-4B59-8F00-19052B0A01C6}"/>
</file>

<file path=customXml/itemProps3.xml><?xml version="1.0" encoding="utf-8"?>
<ds:datastoreItem xmlns:ds="http://schemas.openxmlformats.org/officeDocument/2006/customXml" ds:itemID="{185F14B6-F912-4FB8-B5DA-E5BB4B669D88}"/>
</file>

<file path=customXml/itemProps4.xml><?xml version="1.0" encoding="utf-8"?>
<ds:datastoreItem xmlns:ds="http://schemas.openxmlformats.org/officeDocument/2006/customXml" ds:itemID="{43E294E1-678F-4D03-8DEE-96A830677E1B}"/>
</file>

<file path=docProps/app.xml><?xml version="1.0" encoding="utf-8"?>
<Properties xmlns="http://schemas.openxmlformats.org/officeDocument/2006/extended-properties" xmlns:vt="http://schemas.openxmlformats.org/officeDocument/2006/docPropsVTypes">
  <Template>Normal.dotm</Template>
  <TotalTime>55</TotalTime>
  <Pages>4</Pages>
  <Words>1277</Words>
  <Characters>7284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Gwilym Croucher</dc:creator>
  <cp:keywords/>
  <dc:description/>
  <cp:lastModifiedBy>Gwilym Croucher</cp:lastModifiedBy>
  <cp:revision>31</cp:revision>
  <cp:lastPrinted>2018-06-26T00:40:00Z</cp:lastPrinted>
  <dcterms:created xsi:type="dcterms:W3CDTF">2018-07-25T03:54:00Z</dcterms:created>
  <dcterms:modified xsi:type="dcterms:W3CDTF">2018-07-31T07:10:00Z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SearchTags">
    <vt:lpwstr/>
  </property>
  <property fmtid="{D5CDD505-2E9C-101B-9397-08002B2CF9AE}" pid="3" name="PMC.ESearch.TagGeneratedTime">
    <vt:lpwstr>2019-12-09T15:38:01</vt:lpwstr>
  </property>
  <property fmtid="{D5CDD505-2E9C-101B-9397-08002B2CF9AE}" pid="4" name="HPRMSecurityLevel">
    <vt:lpwstr>57;#OFFICIAL|11463c70-78df-4e3b-b0ff-f66cd3cb26ec</vt:lpwstr>
  </property>
  <property fmtid="{D5CDD505-2E9C-101B-9397-08002B2CF9AE}" pid="5" name="ContentTypeId">
    <vt:lpwstr>0x0101002825A64A6E1845A99A9D8EE8A5686ECB009B58D7D72C3ED54C851955501673F8AC</vt:lpwstr>
  </property>
  <property fmtid="{D5CDD505-2E9C-101B-9397-08002B2CF9AE}" pid="6" name="HPRMSecurityCaveat">
    <vt:lpwstr/>
  </property>
</Properties>
</file>