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B6" w:rsidRPr="006623F6" w:rsidRDefault="004C26B6" w:rsidP="00B128D6">
      <w:pPr>
        <w:spacing w:after="0" w:line="240" w:lineRule="auto"/>
        <w:jc w:val="center"/>
        <w:rPr>
          <w:b/>
          <w:vertAlign w:val="subscript"/>
        </w:rPr>
      </w:pPr>
      <w:r w:rsidRPr="004C26B6">
        <w:rPr>
          <w:b/>
        </w:rPr>
        <w:t>APS Review</w:t>
      </w:r>
    </w:p>
    <w:p w:rsidR="00BC30C0" w:rsidRDefault="00BC30C0" w:rsidP="00B128D6">
      <w:pPr>
        <w:spacing w:after="0" w:line="240" w:lineRule="auto"/>
        <w:jc w:val="center"/>
        <w:rPr>
          <w:b/>
        </w:rPr>
      </w:pPr>
      <w:r>
        <w:rPr>
          <w:b/>
        </w:rPr>
        <w:t>Submission by APS In</w:t>
      </w:r>
      <w:r w:rsidR="006136DA">
        <w:rPr>
          <w:b/>
        </w:rPr>
        <w:t>digenous SES Steering Committee</w:t>
      </w:r>
    </w:p>
    <w:p w:rsidR="00B128D6" w:rsidRDefault="00B128D6" w:rsidP="00B128D6">
      <w:pPr>
        <w:spacing w:after="0" w:line="240" w:lineRule="auto"/>
        <w:jc w:val="center"/>
        <w:rPr>
          <w:b/>
        </w:rPr>
      </w:pPr>
      <w:r>
        <w:rPr>
          <w:b/>
        </w:rPr>
        <w:t>July 2018</w:t>
      </w:r>
    </w:p>
    <w:p w:rsidR="00B13A8A" w:rsidRDefault="00B13A8A" w:rsidP="004C26B6">
      <w:pPr>
        <w:rPr>
          <w:b/>
        </w:rPr>
      </w:pPr>
    </w:p>
    <w:p w:rsidR="00E37776" w:rsidRPr="00E37776" w:rsidRDefault="00E37776" w:rsidP="00FF1A4D">
      <w:pPr>
        <w:pStyle w:val="CCSNormalText"/>
        <w:rPr>
          <w:rFonts w:asciiTheme="minorHAnsi" w:hAnsiTheme="minorHAnsi" w:cstheme="minorHAnsi"/>
          <w:b/>
        </w:rPr>
      </w:pPr>
      <w:r w:rsidRPr="00E37776">
        <w:rPr>
          <w:rFonts w:asciiTheme="minorHAnsi" w:hAnsiTheme="minorHAnsi" w:cstheme="minorHAnsi"/>
          <w:b/>
        </w:rPr>
        <w:t>Introduction</w:t>
      </w:r>
    </w:p>
    <w:p w:rsidR="00E37776" w:rsidRDefault="002023C9" w:rsidP="00FF1A4D">
      <w:pPr>
        <w:pStyle w:val="CCSNormalText"/>
        <w:rPr>
          <w:rFonts w:asciiTheme="minorHAnsi" w:hAnsiTheme="minorHAnsi" w:cstheme="minorHAnsi"/>
        </w:rPr>
      </w:pPr>
      <w:r>
        <w:rPr>
          <w:rFonts w:asciiTheme="minorHAnsi" w:hAnsiTheme="minorHAnsi" w:cstheme="minorHAnsi"/>
        </w:rPr>
        <w:t>To be effective, government</w:t>
      </w:r>
      <w:r w:rsidR="00E0032E">
        <w:rPr>
          <w:rFonts w:asciiTheme="minorHAnsi" w:hAnsiTheme="minorHAnsi" w:cstheme="minorHAnsi"/>
        </w:rPr>
        <w:t>s</w:t>
      </w:r>
      <w:r>
        <w:rPr>
          <w:rFonts w:asciiTheme="minorHAnsi" w:hAnsiTheme="minorHAnsi" w:cstheme="minorHAnsi"/>
        </w:rPr>
        <w:t xml:space="preserve"> must work across organisational boundaries to develop </w:t>
      </w:r>
      <w:r w:rsidR="0026522F">
        <w:rPr>
          <w:rFonts w:asciiTheme="minorHAnsi" w:hAnsiTheme="minorHAnsi" w:cstheme="minorHAnsi"/>
        </w:rPr>
        <w:t>well-informed</w:t>
      </w:r>
      <w:r>
        <w:rPr>
          <w:rFonts w:asciiTheme="minorHAnsi" w:hAnsiTheme="minorHAnsi" w:cstheme="minorHAnsi"/>
        </w:rPr>
        <w:t>, comprehensiv</w:t>
      </w:r>
      <w:r w:rsidR="00423031">
        <w:rPr>
          <w:rFonts w:asciiTheme="minorHAnsi" w:hAnsiTheme="minorHAnsi" w:cstheme="minorHAnsi"/>
        </w:rPr>
        <w:t>e policy advice and implement</w:t>
      </w:r>
      <w:r>
        <w:rPr>
          <w:rFonts w:asciiTheme="minorHAnsi" w:hAnsiTheme="minorHAnsi" w:cstheme="minorHAnsi"/>
        </w:rPr>
        <w:t xml:space="preserve"> policies in an integrated way.  </w:t>
      </w:r>
      <w:r w:rsidR="006623F6">
        <w:rPr>
          <w:rFonts w:asciiTheme="minorHAnsi" w:hAnsiTheme="minorHAnsi" w:cstheme="minorHAnsi"/>
        </w:rPr>
        <w:t>The evidence indicates that high performing organisation</w:t>
      </w:r>
      <w:r w:rsidR="002B6A40">
        <w:rPr>
          <w:rFonts w:asciiTheme="minorHAnsi" w:hAnsiTheme="minorHAnsi" w:cstheme="minorHAnsi"/>
        </w:rPr>
        <w:t>s</w:t>
      </w:r>
      <w:r w:rsidR="006623F6">
        <w:rPr>
          <w:rFonts w:asciiTheme="minorHAnsi" w:hAnsiTheme="minorHAnsi" w:cstheme="minorHAnsi"/>
        </w:rPr>
        <w:t xml:space="preserve"> are those that have a diverse workforce and that this further drives innovation and productivity. </w:t>
      </w:r>
      <w:r w:rsidR="006623F6">
        <w:rPr>
          <w:rFonts w:asciiTheme="minorHAnsi" w:hAnsiTheme="minorHAnsi" w:cstheme="minorHAnsi"/>
        </w:rPr>
        <w:br/>
      </w:r>
      <w:r w:rsidR="006623F6">
        <w:rPr>
          <w:rFonts w:asciiTheme="minorHAnsi" w:hAnsiTheme="minorHAnsi" w:cstheme="minorHAnsi"/>
        </w:rPr>
        <w:br/>
      </w:r>
      <w:r>
        <w:rPr>
          <w:rFonts w:asciiTheme="minorHAnsi" w:hAnsiTheme="minorHAnsi" w:cstheme="minorHAnsi"/>
        </w:rPr>
        <w:t>Critical</w:t>
      </w:r>
      <w:r w:rsidR="00997720">
        <w:rPr>
          <w:rFonts w:asciiTheme="minorHAnsi" w:hAnsiTheme="minorHAnsi" w:cstheme="minorHAnsi"/>
        </w:rPr>
        <w:t xml:space="preserve"> </w:t>
      </w:r>
      <w:r>
        <w:rPr>
          <w:rFonts w:asciiTheme="minorHAnsi" w:hAnsiTheme="minorHAnsi" w:cstheme="minorHAnsi"/>
        </w:rPr>
        <w:t xml:space="preserve">to this </w:t>
      </w:r>
      <w:r w:rsidR="00997720">
        <w:rPr>
          <w:rFonts w:asciiTheme="minorHAnsi" w:hAnsiTheme="minorHAnsi" w:cstheme="minorHAnsi"/>
        </w:rPr>
        <w:t>diversity dividend is the</w:t>
      </w:r>
      <w:r w:rsidR="00997720" w:rsidRPr="00FF1A4D">
        <w:rPr>
          <w:rFonts w:asciiTheme="minorHAnsi" w:hAnsiTheme="minorHAnsi" w:cstheme="minorHAnsi"/>
        </w:rPr>
        <w:t xml:space="preserve"> </w:t>
      </w:r>
      <w:r>
        <w:rPr>
          <w:rFonts w:asciiTheme="minorHAnsi" w:hAnsiTheme="minorHAnsi" w:cstheme="minorHAnsi"/>
        </w:rPr>
        <w:t>government’s ability to understand and facilitate</w:t>
      </w:r>
      <w:r w:rsidRPr="00806C7E">
        <w:rPr>
          <w:rFonts w:asciiTheme="minorHAnsi" w:hAnsiTheme="minorHAnsi" w:cstheme="minorHAnsi"/>
        </w:rPr>
        <w:t xml:space="preserve"> </w:t>
      </w:r>
      <w:r>
        <w:rPr>
          <w:rFonts w:asciiTheme="minorHAnsi" w:hAnsiTheme="minorHAnsi" w:cstheme="minorHAnsi"/>
        </w:rPr>
        <w:t xml:space="preserve">both </w:t>
      </w:r>
      <w:r w:rsidRPr="00806C7E">
        <w:rPr>
          <w:rFonts w:asciiTheme="minorHAnsi" w:hAnsiTheme="minorHAnsi" w:cstheme="minorHAnsi"/>
        </w:rPr>
        <w:t>social and economic opportunities</w:t>
      </w:r>
      <w:r>
        <w:rPr>
          <w:rFonts w:asciiTheme="minorHAnsi" w:hAnsiTheme="minorHAnsi" w:cstheme="minorHAnsi"/>
        </w:rPr>
        <w:t xml:space="preserve"> for Indigenous</w:t>
      </w:r>
      <w:r w:rsidR="00E37776">
        <w:rPr>
          <w:rStyle w:val="FootnoteReference"/>
          <w:rFonts w:asciiTheme="minorHAnsi" w:hAnsiTheme="minorHAnsi" w:cstheme="minorHAnsi"/>
        </w:rPr>
        <w:footnoteReference w:id="1"/>
      </w:r>
      <w:r>
        <w:rPr>
          <w:rFonts w:asciiTheme="minorHAnsi" w:hAnsiTheme="minorHAnsi" w:cstheme="minorHAnsi"/>
        </w:rPr>
        <w:t xml:space="preserve"> Australians</w:t>
      </w:r>
      <w:r w:rsidR="00BC30C0">
        <w:rPr>
          <w:rFonts w:asciiTheme="minorHAnsi" w:hAnsiTheme="minorHAnsi" w:cstheme="minorHAnsi"/>
        </w:rPr>
        <w:t>.</w:t>
      </w:r>
      <w:r w:rsidR="00FF1A4D">
        <w:rPr>
          <w:rFonts w:asciiTheme="minorHAnsi" w:hAnsiTheme="minorHAnsi" w:cstheme="minorHAnsi"/>
        </w:rPr>
        <w:t xml:space="preserve"> </w:t>
      </w:r>
      <w:r w:rsidR="00FF1A4D" w:rsidRPr="00FF1A4D">
        <w:rPr>
          <w:rFonts w:asciiTheme="minorHAnsi" w:hAnsiTheme="minorHAnsi" w:cstheme="minorHAnsi"/>
        </w:rPr>
        <w:t xml:space="preserve">The more </w:t>
      </w:r>
      <w:r w:rsidR="00E37776">
        <w:rPr>
          <w:rFonts w:asciiTheme="minorHAnsi" w:hAnsiTheme="minorHAnsi" w:cstheme="minorHAnsi"/>
        </w:rPr>
        <w:t>Indigenous</w:t>
      </w:r>
      <w:r w:rsidR="00FF1A4D" w:rsidRPr="00FF1A4D">
        <w:rPr>
          <w:rFonts w:asciiTheme="minorHAnsi" w:hAnsiTheme="minorHAnsi" w:cstheme="minorHAnsi"/>
        </w:rPr>
        <w:t xml:space="preserve"> </w:t>
      </w:r>
      <w:r w:rsidR="00D65581">
        <w:rPr>
          <w:rFonts w:asciiTheme="minorHAnsi" w:hAnsiTheme="minorHAnsi" w:cstheme="minorHAnsi"/>
        </w:rPr>
        <w:t xml:space="preserve">people </w:t>
      </w:r>
      <w:r w:rsidR="00FF1A4D" w:rsidRPr="00FF1A4D">
        <w:rPr>
          <w:rFonts w:asciiTheme="minorHAnsi" w:hAnsiTheme="minorHAnsi" w:cstheme="minorHAnsi"/>
        </w:rPr>
        <w:t>employed in the APS</w:t>
      </w:r>
      <w:r w:rsidR="002B6A40">
        <w:rPr>
          <w:rFonts w:asciiTheme="minorHAnsi" w:hAnsiTheme="minorHAnsi" w:cstheme="minorHAnsi"/>
        </w:rPr>
        <w:t>,</w:t>
      </w:r>
      <w:r w:rsidR="00FF1A4D" w:rsidRPr="00FF1A4D">
        <w:rPr>
          <w:rFonts w:asciiTheme="minorHAnsi" w:hAnsiTheme="minorHAnsi" w:cstheme="minorHAnsi"/>
        </w:rPr>
        <w:t xml:space="preserve"> the more our policies and programs will reflect Indigenous </w:t>
      </w:r>
      <w:r w:rsidR="0026522F">
        <w:rPr>
          <w:rFonts w:asciiTheme="minorHAnsi" w:hAnsiTheme="minorHAnsi" w:cstheme="minorHAnsi"/>
        </w:rPr>
        <w:t>worldviews</w:t>
      </w:r>
      <w:r w:rsidR="00D65581">
        <w:rPr>
          <w:rFonts w:asciiTheme="minorHAnsi" w:hAnsiTheme="minorHAnsi" w:cstheme="minorHAnsi"/>
        </w:rPr>
        <w:t>, needs</w:t>
      </w:r>
      <w:r w:rsidR="00FF1A4D" w:rsidRPr="00FF1A4D">
        <w:rPr>
          <w:rFonts w:asciiTheme="minorHAnsi" w:hAnsiTheme="minorHAnsi" w:cstheme="minorHAnsi"/>
        </w:rPr>
        <w:t xml:space="preserve"> and </w:t>
      </w:r>
      <w:r w:rsidR="00E37776">
        <w:rPr>
          <w:rFonts w:asciiTheme="minorHAnsi" w:hAnsiTheme="minorHAnsi" w:cstheme="minorHAnsi"/>
        </w:rPr>
        <w:t>aspirations</w:t>
      </w:r>
      <w:r w:rsidR="00FF1A4D" w:rsidRPr="00FF1A4D">
        <w:rPr>
          <w:rFonts w:asciiTheme="minorHAnsi" w:hAnsiTheme="minorHAnsi" w:cstheme="minorHAnsi"/>
        </w:rPr>
        <w:t>.</w:t>
      </w:r>
    </w:p>
    <w:p w:rsidR="00FF1A4D" w:rsidRDefault="00D65581" w:rsidP="00FF1A4D">
      <w:pPr>
        <w:pStyle w:val="CCSNormalText"/>
        <w:rPr>
          <w:rFonts w:asciiTheme="minorHAnsi" w:hAnsiTheme="minorHAnsi" w:cstheme="minorHAnsi"/>
        </w:rPr>
      </w:pPr>
      <w:r>
        <w:rPr>
          <w:rFonts w:asciiTheme="minorHAnsi" w:hAnsiTheme="minorHAnsi" w:cstheme="minorHAnsi"/>
        </w:rPr>
        <w:t xml:space="preserve">To achieve this, the APS needs to </w:t>
      </w:r>
      <w:r w:rsidR="00FF1A4D" w:rsidRPr="00FF1A4D">
        <w:rPr>
          <w:rFonts w:asciiTheme="minorHAnsi" w:hAnsiTheme="minorHAnsi" w:cstheme="minorHAnsi"/>
        </w:rPr>
        <w:t>develop a critical</w:t>
      </w:r>
      <w:r w:rsidR="00294EFB">
        <w:rPr>
          <w:rFonts w:asciiTheme="minorHAnsi" w:hAnsiTheme="minorHAnsi" w:cstheme="minorHAnsi"/>
        </w:rPr>
        <w:t xml:space="preserve"> </w:t>
      </w:r>
      <w:r w:rsidR="00FF1A4D" w:rsidRPr="00FF1A4D">
        <w:rPr>
          <w:rFonts w:asciiTheme="minorHAnsi" w:hAnsiTheme="minorHAnsi" w:cstheme="minorHAnsi"/>
        </w:rPr>
        <w:t>mass</w:t>
      </w:r>
      <w:r>
        <w:rPr>
          <w:rFonts w:asciiTheme="minorHAnsi" w:hAnsiTheme="minorHAnsi" w:cstheme="minorHAnsi"/>
        </w:rPr>
        <w:t xml:space="preserve"> of Indigenous employees across the workforce.</w:t>
      </w:r>
      <w:r w:rsidR="004F67CE">
        <w:rPr>
          <w:rFonts w:asciiTheme="minorHAnsi" w:hAnsiTheme="minorHAnsi" w:cstheme="minorHAnsi"/>
        </w:rPr>
        <w:t xml:space="preserve"> </w:t>
      </w:r>
      <w:r w:rsidR="00294EFB">
        <w:rPr>
          <w:rFonts w:asciiTheme="minorHAnsi" w:hAnsiTheme="minorHAnsi" w:cstheme="minorHAnsi"/>
        </w:rPr>
        <w:t xml:space="preserve">This goes beyond just numbers, </w:t>
      </w:r>
      <w:r w:rsidR="00E37776">
        <w:rPr>
          <w:rFonts w:asciiTheme="minorHAnsi" w:hAnsiTheme="minorHAnsi" w:cstheme="minorHAnsi"/>
        </w:rPr>
        <w:t>and includes</w:t>
      </w:r>
      <w:r w:rsidR="00294EFB">
        <w:rPr>
          <w:rFonts w:asciiTheme="minorHAnsi" w:hAnsiTheme="minorHAnsi" w:cstheme="minorHAnsi"/>
        </w:rPr>
        <w:t xml:space="preserve"> representation across the APS classification levels and across agencies. </w:t>
      </w:r>
      <w:r w:rsidR="00294EFB">
        <w:rPr>
          <w:rFonts w:asciiTheme="minorHAnsi" w:hAnsiTheme="minorHAnsi" w:cstheme="minorHAnsi"/>
        </w:rPr>
        <w:br/>
      </w:r>
      <w:r w:rsidR="00294EFB">
        <w:rPr>
          <w:rFonts w:asciiTheme="minorHAnsi" w:hAnsiTheme="minorHAnsi" w:cstheme="minorHAnsi"/>
        </w:rPr>
        <w:br/>
      </w:r>
      <w:r w:rsidR="00E37776">
        <w:rPr>
          <w:rFonts w:asciiTheme="minorHAnsi" w:hAnsiTheme="minorHAnsi" w:cstheme="minorHAnsi"/>
        </w:rPr>
        <w:t>Given the relative</w:t>
      </w:r>
      <w:r w:rsidR="002B6A40">
        <w:rPr>
          <w:rFonts w:asciiTheme="minorHAnsi" w:hAnsiTheme="minorHAnsi" w:cstheme="minorHAnsi"/>
        </w:rPr>
        <w:t>ly</w:t>
      </w:r>
      <w:r w:rsidR="00E37776">
        <w:rPr>
          <w:rFonts w:asciiTheme="minorHAnsi" w:hAnsiTheme="minorHAnsi" w:cstheme="minorHAnsi"/>
        </w:rPr>
        <w:t xml:space="preserve"> high level of social and economic disadvantage faced by many Indigenous individuals, families and communities, it is imperative Indigenous people are active participants i</w:t>
      </w:r>
      <w:r w:rsidR="004F67CE">
        <w:rPr>
          <w:rFonts w:asciiTheme="minorHAnsi" w:hAnsiTheme="minorHAnsi" w:cstheme="minorHAnsi"/>
        </w:rPr>
        <w:t>n shaping</w:t>
      </w:r>
      <w:r w:rsidR="002B6A40">
        <w:rPr>
          <w:rFonts w:asciiTheme="minorHAnsi" w:hAnsiTheme="minorHAnsi" w:cstheme="minorHAnsi"/>
        </w:rPr>
        <w:t>,</w:t>
      </w:r>
      <w:r w:rsidR="004F67CE">
        <w:rPr>
          <w:rFonts w:asciiTheme="minorHAnsi" w:hAnsiTheme="minorHAnsi" w:cstheme="minorHAnsi"/>
        </w:rPr>
        <w:t xml:space="preserve"> designing</w:t>
      </w:r>
      <w:r w:rsidR="002B6A40">
        <w:rPr>
          <w:rFonts w:asciiTheme="minorHAnsi" w:hAnsiTheme="minorHAnsi" w:cstheme="minorHAnsi"/>
        </w:rPr>
        <w:t xml:space="preserve"> and implementing</w:t>
      </w:r>
      <w:r w:rsidR="004F67CE">
        <w:rPr>
          <w:rFonts w:asciiTheme="minorHAnsi" w:hAnsiTheme="minorHAnsi" w:cstheme="minorHAnsi"/>
        </w:rPr>
        <w:t xml:space="preserve"> policy</w:t>
      </w:r>
      <w:r w:rsidR="00E37776">
        <w:rPr>
          <w:rFonts w:asciiTheme="minorHAnsi" w:hAnsiTheme="minorHAnsi" w:cstheme="minorHAnsi"/>
        </w:rPr>
        <w:t xml:space="preserve">.  This will require not only </w:t>
      </w:r>
      <w:r w:rsidR="004F67CE">
        <w:rPr>
          <w:rFonts w:asciiTheme="minorHAnsi" w:hAnsiTheme="minorHAnsi" w:cstheme="minorHAnsi"/>
        </w:rPr>
        <w:t xml:space="preserve">Indigenous </w:t>
      </w:r>
      <w:r w:rsidR="00294EFB">
        <w:rPr>
          <w:rFonts w:asciiTheme="minorHAnsi" w:hAnsiTheme="minorHAnsi" w:cstheme="minorHAnsi"/>
        </w:rPr>
        <w:t>parity</w:t>
      </w:r>
      <w:r w:rsidR="00E37776">
        <w:rPr>
          <w:rFonts w:asciiTheme="minorHAnsi" w:hAnsiTheme="minorHAnsi" w:cstheme="minorHAnsi"/>
        </w:rPr>
        <w:t xml:space="preserve">, but also </w:t>
      </w:r>
      <w:r w:rsidR="00294EFB">
        <w:rPr>
          <w:rFonts w:asciiTheme="minorHAnsi" w:hAnsiTheme="minorHAnsi" w:cstheme="minorHAnsi"/>
        </w:rPr>
        <w:t xml:space="preserve">strong </w:t>
      </w:r>
      <w:r w:rsidR="004F67CE">
        <w:rPr>
          <w:rFonts w:asciiTheme="minorHAnsi" w:hAnsiTheme="minorHAnsi" w:cstheme="minorHAnsi"/>
        </w:rPr>
        <w:t xml:space="preserve">representation at the </w:t>
      </w:r>
      <w:r w:rsidR="00997720">
        <w:rPr>
          <w:rFonts w:asciiTheme="minorHAnsi" w:hAnsiTheme="minorHAnsi" w:cstheme="minorHAnsi"/>
        </w:rPr>
        <w:t xml:space="preserve">executive and </w:t>
      </w:r>
      <w:r w:rsidR="004F67CE">
        <w:rPr>
          <w:rFonts w:asciiTheme="minorHAnsi" w:hAnsiTheme="minorHAnsi" w:cstheme="minorHAnsi"/>
        </w:rPr>
        <w:t>senior executive levels</w:t>
      </w:r>
      <w:r w:rsidR="00E37776">
        <w:rPr>
          <w:rFonts w:asciiTheme="minorHAnsi" w:hAnsiTheme="minorHAnsi" w:cstheme="minorHAnsi"/>
        </w:rPr>
        <w:t xml:space="preserve"> of government</w:t>
      </w:r>
      <w:r w:rsidR="004F67CE">
        <w:rPr>
          <w:rFonts w:asciiTheme="minorHAnsi" w:hAnsiTheme="minorHAnsi" w:cstheme="minorHAnsi"/>
        </w:rPr>
        <w:t>.</w:t>
      </w:r>
    </w:p>
    <w:p w:rsidR="00BC30C0" w:rsidRDefault="00BC30C0" w:rsidP="002715D7">
      <w:pPr>
        <w:spacing w:before="240"/>
        <w:rPr>
          <w:b/>
        </w:rPr>
      </w:pPr>
      <w:r>
        <w:rPr>
          <w:b/>
        </w:rPr>
        <w:t>Current Indigenous representation in the APS</w:t>
      </w:r>
    </w:p>
    <w:p w:rsidR="004D5C9C" w:rsidRDefault="00E37776" w:rsidP="00E37776">
      <w:r>
        <w:t xml:space="preserve">Indigenous </w:t>
      </w:r>
      <w:r w:rsidR="00B128D6" w:rsidRPr="005E086C">
        <w:t>emplo</w:t>
      </w:r>
      <w:r w:rsidR="005E086C" w:rsidRPr="005E086C">
        <w:t>yees currently represent 3.3</w:t>
      </w:r>
      <w:r w:rsidR="00D65581" w:rsidRPr="005E086C">
        <w:t xml:space="preserve"> </w:t>
      </w:r>
      <w:r w:rsidR="00416951">
        <w:t>per cent</w:t>
      </w:r>
      <w:r w:rsidR="00D65581" w:rsidRPr="005E086C">
        <w:t xml:space="preserve"> of</w:t>
      </w:r>
      <w:r w:rsidR="00B128D6" w:rsidRPr="005E086C">
        <w:t xml:space="preserve"> the APS workforce </w:t>
      </w:r>
      <w:r w:rsidR="005E086C" w:rsidRPr="005E086C">
        <w:t>(December 2017).</w:t>
      </w:r>
      <w:r>
        <w:t xml:space="preserve">  This </w:t>
      </w:r>
      <w:r w:rsidR="004D5C9C">
        <w:t>represents employment parity for Indigenous people in the APS. Fig</w:t>
      </w:r>
      <w:r w:rsidR="00A95CF6">
        <w:t>ure</w:t>
      </w:r>
      <w:r w:rsidR="004D5C9C">
        <w:t xml:space="preserve"> 1 below highlights the improvement in Indigenous representation over the last 10 years.</w:t>
      </w:r>
    </w:p>
    <w:p w:rsidR="007A3F94" w:rsidRDefault="0018592F" w:rsidP="002715D7">
      <w:r>
        <w:t xml:space="preserve">Figure 1. </w:t>
      </w:r>
      <w:r w:rsidR="00521C6B">
        <w:t>APS Employees</w:t>
      </w:r>
      <w:r w:rsidR="005A5F99">
        <w:rPr>
          <w:rStyle w:val="FootnoteReference"/>
        </w:rPr>
        <w:footnoteReference w:id="2"/>
      </w:r>
    </w:p>
    <w:p w:rsidR="007A3F94" w:rsidRDefault="007A3F94" w:rsidP="002715D7">
      <w:r>
        <w:t xml:space="preserve"> </w:t>
      </w:r>
      <w:r w:rsidR="00AC49A4">
        <w:rPr>
          <w:noProof/>
          <w:lang w:eastAsia="en-AU"/>
        </w:rPr>
        <w:drawing>
          <wp:inline distT="0" distB="0" distL="0" distR="0" wp14:anchorId="0C3E4C7B" wp14:editId="4D08CCC5">
            <wp:extent cx="2808000" cy="1626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00" cy="1626845"/>
                    </a:xfrm>
                    <a:prstGeom prst="rect">
                      <a:avLst/>
                    </a:prstGeom>
                    <a:noFill/>
                  </pic:spPr>
                </pic:pic>
              </a:graphicData>
            </a:graphic>
          </wp:inline>
        </w:drawing>
      </w:r>
      <w:r w:rsidR="00AC49A4">
        <w:t xml:space="preserve"> </w:t>
      </w:r>
      <w:r w:rsidR="00AC49A4">
        <w:rPr>
          <w:noProof/>
          <w:lang w:eastAsia="en-AU"/>
        </w:rPr>
        <w:drawing>
          <wp:inline distT="0" distB="0" distL="0" distR="0" wp14:anchorId="65A48359" wp14:editId="734FC8BE">
            <wp:extent cx="2808000" cy="16253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000" cy="1625378"/>
                    </a:xfrm>
                    <a:prstGeom prst="rect">
                      <a:avLst/>
                    </a:prstGeom>
                    <a:noFill/>
                  </pic:spPr>
                </pic:pic>
              </a:graphicData>
            </a:graphic>
          </wp:inline>
        </w:drawing>
      </w:r>
    </w:p>
    <w:p w:rsidR="00521C6B" w:rsidRDefault="0018592F" w:rsidP="002715D7">
      <w:r>
        <w:t xml:space="preserve"> </w:t>
      </w:r>
    </w:p>
    <w:p w:rsidR="002B6A40" w:rsidRDefault="002B6A40" w:rsidP="002B6A40">
      <w:pPr>
        <w:jc w:val="both"/>
      </w:pPr>
      <w:r>
        <w:t xml:space="preserve">The Indigenous age profile is skewed towards the younger age group, so over time, the level of Indigenous representation </w:t>
      </w:r>
      <w:r w:rsidR="00E0032E">
        <w:t xml:space="preserve">in the population </w:t>
      </w:r>
      <w:r>
        <w:t xml:space="preserve">will increase.  Therefore, unless Indigenous people are </w:t>
      </w:r>
      <w:r>
        <w:lastRenderedPageBreak/>
        <w:t xml:space="preserve">recruited </w:t>
      </w:r>
      <w:r w:rsidR="00E0032E">
        <w:t xml:space="preserve">and/or retained </w:t>
      </w:r>
      <w:r>
        <w:t xml:space="preserve">at a greater rate than non-Indigenous </w:t>
      </w:r>
      <w:proofErr w:type="gramStart"/>
      <w:r>
        <w:t>people</w:t>
      </w:r>
      <w:proofErr w:type="gramEnd"/>
      <w:r>
        <w:t xml:space="preserve">, the goal of </w:t>
      </w:r>
      <w:r w:rsidR="00E0032E">
        <w:t xml:space="preserve">future </w:t>
      </w:r>
      <w:r>
        <w:t>employment parity will not be achieved.</w:t>
      </w:r>
    </w:p>
    <w:p w:rsidR="00360A65" w:rsidRDefault="00360A65" w:rsidP="00360A65">
      <w:pPr>
        <w:pBdr>
          <w:top w:val="single" w:sz="4" w:space="1" w:color="auto"/>
          <w:left w:val="single" w:sz="4" w:space="4" w:color="auto"/>
          <w:bottom w:val="single" w:sz="4" w:space="1" w:color="auto"/>
          <w:right w:val="single" w:sz="4" w:space="4" w:color="auto"/>
        </w:pBdr>
        <w:ind w:left="360"/>
      </w:pPr>
      <w:r w:rsidRPr="00B128D6">
        <w:t xml:space="preserve">How do we attract </w:t>
      </w:r>
      <w:proofErr w:type="gramStart"/>
      <w:r w:rsidRPr="00B128D6">
        <w:t xml:space="preserve">more </w:t>
      </w:r>
      <w:r w:rsidR="002B6A40">
        <w:t>Indigenous</w:t>
      </w:r>
      <w:r w:rsidRPr="00B128D6">
        <w:t xml:space="preserve"> people to work in the APS</w:t>
      </w:r>
      <w:r w:rsidR="002B6A40">
        <w:t xml:space="preserve"> without relying on </w:t>
      </w:r>
      <w:r w:rsidR="002715D7">
        <w:t>entry-level</w:t>
      </w:r>
      <w:r w:rsidR="002B6A40">
        <w:t xml:space="preserve"> recruitment</w:t>
      </w:r>
      <w:proofErr w:type="gramEnd"/>
      <w:r w:rsidRPr="00B128D6">
        <w:t>?</w:t>
      </w:r>
      <w:r>
        <w:t xml:space="preserve"> </w:t>
      </w:r>
    </w:p>
    <w:p w:rsidR="006A73C8" w:rsidRPr="002715D7" w:rsidRDefault="002715D7" w:rsidP="00360A65">
      <w:pPr>
        <w:pBdr>
          <w:top w:val="single" w:sz="4" w:space="1" w:color="auto"/>
          <w:left w:val="single" w:sz="4" w:space="4" w:color="auto"/>
          <w:bottom w:val="single" w:sz="4" w:space="1" w:color="auto"/>
          <w:right w:val="single" w:sz="4" w:space="4" w:color="auto"/>
        </w:pBdr>
        <w:ind w:left="360"/>
      </w:pPr>
      <w:r>
        <w:t>T</w:t>
      </w:r>
      <w:r w:rsidR="000C3991">
        <w:t>he APS</w:t>
      </w:r>
      <w:r w:rsidR="006A73C8" w:rsidRPr="002715D7">
        <w:t xml:space="preserve"> develop</w:t>
      </w:r>
      <w:r>
        <w:t xml:space="preserve"> a</w:t>
      </w:r>
      <w:r w:rsidR="006A73C8" w:rsidRPr="002715D7">
        <w:t xml:space="preserve"> more robust</w:t>
      </w:r>
      <w:r w:rsidR="00042B19" w:rsidRPr="002715D7">
        <w:t>, frequent</w:t>
      </w:r>
      <w:r w:rsidR="006A73C8" w:rsidRPr="002715D7">
        <w:t xml:space="preserve"> and transparent reporting of Indige</w:t>
      </w:r>
      <w:r w:rsidR="000C3991">
        <w:t>nous participation in the APS.</w:t>
      </w:r>
    </w:p>
    <w:p w:rsidR="006A73C8" w:rsidRPr="002715D7" w:rsidRDefault="00042B19" w:rsidP="00360A65">
      <w:pPr>
        <w:pBdr>
          <w:top w:val="single" w:sz="4" w:space="1" w:color="auto"/>
          <w:left w:val="single" w:sz="4" w:space="4" w:color="auto"/>
          <w:bottom w:val="single" w:sz="4" w:space="1" w:color="auto"/>
          <w:right w:val="single" w:sz="4" w:space="4" w:color="auto"/>
        </w:pBdr>
        <w:ind w:left="360"/>
      </w:pPr>
      <w:r w:rsidRPr="002715D7">
        <w:t>Develop more a more engaging, exciting, promotional material and narrative</w:t>
      </w:r>
      <w:r w:rsidR="000C3991">
        <w:t>, including for delivery in the schooling systems</w:t>
      </w:r>
      <w:r w:rsidRPr="002715D7">
        <w:t>.</w:t>
      </w:r>
      <w:r w:rsidR="006A73C8" w:rsidRPr="002715D7">
        <w:t xml:space="preserve"> </w:t>
      </w:r>
      <w:r w:rsidRPr="002715D7">
        <w:t xml:space="preserve"> Use existing Indigenous staff in promotional materia</w:t>
      </w:r>
      <w:r w:rsidR="000C3991">
        <w:t>l, highlighting the diversity of</w:t>
      </w:r>
      <w:r w:rsidRPr="002715D7">
        <w:t xml:space="preserve"> </w:t>
      </w:r>
      <w:r w:rsidR="000C3991">
        <w:t>role</w:t>
      </w:r>
      <w:r w:rsidRPr="002715D7">
        <w:t xml:space="preserve">s available and </w:t>
      </w:r>
      <w:r w:rsidR="00390F0C" w:rsidRPr="002715D7">
        <w:t xml:space="preserve">the stories of </w:t>
      </w:r>
      <w:r w:rsidR="002715D7" w:rsidRPr="002715D7">
        <w:t>I</w:t>
      </w:r>
      <w:r w:rsidRPr="002715D7">
        <w:t>ndigenous staff.</w:t>
      </w:r>
    </w:p>
    <w:p w:rsidR="004D5C9C" w:rsidRDefault="004D5C9C" w:rsidP="00E37776">
      <w:r>
        <w:t xml:space="preserve">While </w:t>
      </w:r>
      <w:r w:rsidR="002B6A40">
        <w:t xml:space="preserve">employment parity </w:t>
      </w:r>
      <w:r>
        <w:t>is commendable, Indigenous people remain compressed within the lower classifications.  Fig</w:t>
      </w:r>
      <w:r w:rsidR="00A95CF6">
        <w:t>ure</w:t>
      </w:r>
      <w:r>
        <w:t xml:space="preserve"> 2 below highlights the discrepancy in employment profiles for Indigenous versus non-Indigenous people.  Further, the data shows that, despite the government’s commitment and many strategies to raise the Indigenous profile over time, the discrepancy has increased over the last 10 years.  </w:t>
      </w:r>
    </w:p>
    <w:p w:rsidR="002C5ED5" w:rsidRDefault="002C5ED5" w:rsidP="00E37776">
      <w:r>
        <w:t>Figure 2. APS Employee Profile</w:t>
      </w:r>
    </w:p>
    <w:p w:rsidR="00521C6B" w:rsidRDefault="002C5ED5" w:rsidP="00691FDE">
      <w:r>
        <w:t xml:space="preserve"> </w:t>
      </w:r>
      <w:r>
        <w:rPr>
          <w:noProof/>
          <w:lang w:eastAsia="en-AU"/>
        </w:rPr>
        <w:drawing>
          <wp:inline distT="0" distB="0" distL="0" distR="0" wp14:anchorId="56D511F0" wp14:editId="471E1A33">
            <wp:extent cx="2808000" cy="1658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000" cy="1658440"/>
                    </a:xfrm>
                    <a:prstGeom prst="rect">
                      <a:avLst/>
                    </a:prstGeom>
                    <a:noFill/>
                    <a:ln>
                      <a:noFill/>
                    </a:ln>
                  </pic:spPr>
                </pic:pic>
              </a:graphicData>
            </a:graphic>
          </wp:inline>
        </w:drawing>
      </w:r>
      <w:r>
        <w:rPr>
          <w:noProof/>
          <w:lang w:eastAsia="en-AU"/>
        </w:rPr>
        <w:drawing>
          <wp:inline distT="0" distB="0" distL="0" distR="0" wp14:anchorId="68DFF396" wp14:editId="7290B242">
            <wp:extent cx="2808000" cy="1658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000" cy="1658440"/>
                    </a:xfrm>
                    <a:prstGeom prst="rect">
                      <a:avLst/>
                    </a:prstGeom>
                    <a:noFill/>
                    <a:ln>
                      <a:noFill/>
                    </a:ln>
                  </pic:spPr>
                </pic:pic>
              </a:graphicData>
            </a:graphic>
          </wp:inline>
        </w:drawing>
      </w:r>
    </w:p>
    <w:p w:rsidR="004D5C9C" w:rsidRPr="002715D7" w:rsidRDefault="00691FDE" w:rsidP="00E37776">
      <w:r w:rsidRPr="00691FDE">
        <w:t xml:space="preserve">The </w:t>
      </w:r>
      <w:r>
        <w:t xml:space="preserve">amplified </w:t>
      </w:r>
      <w:r w:rsidRPr="00691FDE">
        <w:t>discrepancy has em</w:t>
      </w:r>
      <w:r w:rsidR="002715D7">
        <w:t>erged due to the recent (last 3–</w:t>
      </w:r>
      <w:r w:rsidRPr="00691FDE">
        <w:t xml:space="preserve">4 years) </w:t>
      </w:r>
      <w:r>
        <w:t xml:space="preserve">accelerated </w:t>
      </w:r>
      <w:r w:rsidRPr="00691FDE">
        <w:t xml:space="preserve">focus on </w:t>
      </w:r>
      <w:proofErr w:type="gramStart"/>
      <w:r w:rsidRPr="00691FDE">
        <w:t>entry level</w:t>
      </w:r>
      <w:proofErr w:type="gramEnd"/>
      <w:r w:rsidRPr="00691FDE">
        <w:t xml:space="preserve"> recruitment for Indigenous people</w:t>
      </w:r>
      <w:r>
        <w:t xml:space="preserve"> compared to non-Indigenous people</w:t>
      </w:r>
      <w:r w:rsidRPr="00691FDE">
        <w:t xml:space="preserve">. </w:t>
      </w:r>
      <w:r>
        <w:t>For example,</w:t>
      </w:r>
      <w:r w:rsidRPr="00691FDE">
        <w:t xml:space="preserve"> 86.6 per cent of Aboriginal and Torres Strait Islanders </w:t>
      </w:r>
      <w:proofErr w:type="gramStart"/>
      <w:r w:rsidRPr="00691FDE">
        <w:t>were engaged at or below the APS 4 level in 2016</w:t>
      </w:r>
      <w:r w:rsidR="002715D7">
        <w:t>–</w:t>
      </w:r>
      <w:r w:rsidRPr="00691FDE">
        <w:t>17</w:t>
      </w:r>
      <w:r>
        <w:t xml:space="preserve"> compared to</w:t>
      </w:r>
      <w:r w:rsidR="003E05E0">
        <w:t xml:space="preserve"> 57.1 per cent of non-Indigenous </w:t>
      </w:r>
      <w:r w:rsidR="003E05E0" w:rsidRPr="002715D7">
        <w:t>people</w:t>
      </w:r>
      <w:proofErr w:type="gramEnd"/>
      <w:r w:rsidRPr="002715D7">
        <w:t>.</w:t>
      </w:r>
      <w:r w:rsidR="00DF60EB" w:rsidRPr="002715D7">
        <w:t xml:space="preserve">  </w:t>
      </w:r>
      <w:r w:rsidR="00390F0C" w:rsidRPr="002715D7">
        <w:t>T</w:t>
      </w:r>
      <w:r w:rsidR="00DF60EB" w:rsidRPr="002715D7">
        <w:t xml:space="preserve">he above graphs </w:t>
      </w:r>
      <w:r w:rsidR="00390F0C" w:rsidRPr="002715D7">
        <w:t xml:space="preserve">also highlight the lack of progression from the </w:t>
      </w:r>
      <w:r w:rsidR="00DF60EB" w:rsidRPr="002715D7">
        <w:t>APS</w:t>
      </w:r>
      <w:r w:rsidR="00390F0C" w:rsidRPr="002715D7">
        <w:t xml:space="preserve"> </w:t>
      </w:r>
      <w:r w:rsidR="00DF60EB" w:rsidRPr="002715D7">
        <w:t xml:space="preserve">4 </w:t>
      </w:r>
      <w:r w:rsidR="00390F0C" w:rsidRPr="002715D7">
        <w:t>level; in fact, t</w:t>
      </w:r>
      <w:r w:rsidR="00DF60EB" w:rsidRPr="002715D7">
        <w:t xml:space="preserve">he </w:t>
      </w:r>
      <w:r w:rsidR="00D10888">
        <w:t>APS</w:t>
      </w:r>
      <w:r w:rsidR="00DF60EB" w:rsidRPr="002715D7">
        <w:t xml:space="preserve"> 4 cohort has grown, and </w:t>
      </w:r>
      <w:r w:rsidR="002715D7">
        <w:t xml:space="preserve">has </w:t>
      </w:r>
      <w:r w:rsidR="002715D7" w:rsidRPr="002715D7">
        <w:t>only</w:t>
      </w:r>
      <w:r w:rsidR="002715D7">
        <w:t xml:space="preserve"> shown </w:t>
      </w:r>
      <w:proofErr w:type="gramStart"/>
      <w:r w:rsidR="00DF60EB" w:rsidRPr="002715D7">
        <w:t>incremental</w:t>
      </w:r>
      <w:proofErr w:type="gramEnd"/>
      <w:r w:rsidR="00DF60EB" w:rsidRPr="002715D7">
        <w:t xml:space="preserve"> growth occurring at the APS 6</w:t>
      </w:r>
      <w:r w:rsidR="002715D7">
        <w:t xml:space="preserve"> level</w:t>
      </w:r>
      <w:r w:rsidR="00DF60EB" w:rsidRPr="002715D7">
        <w:t xml:space="preserve">.  </w:t>
      </w:r>
    </w:p>
    <w:p w:rsidR="00081A01" w:rsidRPr="002715D7" w:rsidRDefault="002B6A40" w:rsidP="00390F0C">
      <w:pPr>
        <w:pBdr>
          <w:top w:val="single" w:sz="4" w:space="1" w:color="auto"/>
          <w:left w:val="single" w:sz="4" w:space="4" w:color="auto"/>
          <w:bottom w:val="single" w:sz="4" w:space="1" w:color="auto"/>
          <w:right w:val="single" w:sz="4" w:space="4" w:color="auto"/>
        </w:pBdr>
        <w:ind w:left="360"/>
      </w:pPr>
      <w:r w:rsidRPr="002715D7">
        <w:t>What is the APS narrative to attract young aspiring future Indigenous leaders in a very competitive employer market?</w:t>
      </w:r>
      <w:r w:rsidR="00390F0C" w:rsidRPr="002715D7">
        <w:t xml:space="preserve">  </w:t>
      </w:r>
      <w:r w:rsidR="002715D7">
        <w:t xml:space="preserve">The Indigenous SES Network </w:t>
      </w:r>
      <w:r w:rsidR="00390F0C" w:rsidRPr="002715D7">
        <w:t>Steering Committee recommends a refocus from “serving the community” to “</w:t>
      </w:r>
      <w:r w:rsidR="002715D7" w:rsidRPr="002715D7">
        <w:t>nation</w:t>
      </w:r>
      <w:r w:rsidR="00081A01" w:rsidRPr="002715D7">
        <w:t xml:space="preserve"> building</w:t>
      </w:r>
      <w:r w:rsidR="00390F0C" w:rsidRPr="002715D7">
        <w:t>”</w:t>
      </w:r>
      <w:r w:rsidR="00081A01" w:rsidRPr="002715D7">
        <w:t>.</w:t>
      </w:r>
    </w:p>
    <w:p w:rsidR="00691FDE" w:rsidRDefault="00691FDE" w:rsidP="00691FDE">
      <w:r>
        <w:t xml:space="preserve">There has been a steady decline in the proportion of Indigenous </w:t>
      </w:r>
      <w:r w:rsidR="00E418CE">
        <w:t>employees</w:t>
      </w:r>
      <w:r>
        <w:t xml:space="preserve"> </w:t>
      </w:r>
      <w:r w:rsidR="00081570">
        <w:t>at the APS 5–</w:t>
      </w:r>
      <w:r>
        <w:t xml:space="preserve">6 </w:t>
      </w:r>
      <w:r w:rsidR="009276F6">
        <w:t>c</w:t>
      </w:r>
      <w:r>
        <w:t>lassifications across the APS. At its highest point in 2011, 2</w:t>
      </w:r>
      <w:r w:rsidR="00E67AAE">
        <w:t>7</w:t>
      </w:r>
      <w:r>
        <w:t xml:space="preserve"> per cent of Indigenous staff in the</w:t>
      </w:r>
      <w:r w:rsidR="00081570">
        <w:t xml:space="preserve"> APS </w:t>
      </w:r>
      <w:proofErr w:type="gramStart"/>
      <w:r w:rsidR="00081570">
        <w:t>were employed</w:t>
      </w:r>
      <w:proofErr w:type="gramEnd"/>
      <w:r w:rsidR="00081570">
        <w:t xml:space="preserve"> at the APS 5–6 c</w:t>
      </w:r>
      <w:r>
        <w:t>lassifications. This figure has now dropped to 23.</w:t>
      </w:r>
      <w:r w:rsidR="00E67AAE">
        <w:t>4</w:t>
      </w:r>
      <w:r>
        <w:t xml:space="preserve"> per cent at </w:t>
      </w:r>
      <w:r w:rsidR="007A7DE7">
        <w:t>December</w:t>
      </w:r>
      <w:r>
        <w:t xml:space="preserve"> </w:t>
      </w:r>
      <w:proofErr w:type="gramStart"/>
      <w:r>
        <w:t>2017</w:t>
      </w:r>
      <w:r w:rsidR="009276F6">
        <w:t>,</w:t>
      </w:r>
      <w:proofErr w:type="gramEnd"/>
      <w:r w:rsidR="009276F6">
        <w:t xml:space="preserve"> in contrast the pro</w:t>
      </w:r>
      <w:r w:rsidR="00262563">
        <w:t>portion of non-Indigenous APS 5–</w:t>
      </w:r>
      <w:r w:rsidR="009276F6">
        <w:t xml:space="preserve">6 employees is </w:t>
      </w:r>
      <w:r w:rsidR="00081570">
        <w:t>36.4 per cent</w:t>
      </w:r>
      <w:r>
        <w:t>.</w:t>
      </w:r>
    </w:p>
    <w:p w:rsidR="00691FDE" w:rsidRDefault="00691FDE" w:rsidP="00691FDE">
      <w:r>
        <w:lastRenderedPageBreak/>
        <w:t xml:space="preserve">The number and proportion of Indigenous staff at the Executive Level is also declining. </w:t>
      </w:r>
      <w:r w:rsidR="00E418CE">
        <w:t>Over the last 10 years</w:t>
      </w:r>
      <w:r>
        <w:t>,</w:t>
      </w:r>
      <w:r w:rsidR="00E418CE">
        <w:t xml:space="preserve"> the proportion of </w:t>
      </w:r>
      <w:r>
        <w:t xml:space="preserve">Indigenous staff in the APS employed at the Executive Level classifications </w:t>
      </w:r>
      <w:r w:rsidR="00E418CE">
        <w:t>has fallen from</w:t>
      </w:r>
      <w:r w:rsidR="00E67AAE">
        <w:t xml:space="preserve"> </w:t>
      </w:r>
      <w:r w:rsidR="009276F6">
        <w:t>a</w:t>
      </w:r>
      <w:r w:rsidR="00E67AAE">
        <w:t xml:space="preserve"> peak in 2011 at</w:t>
      </w:r>
      <w:r w:rsidR="00351307">
        <w:t xml:space="preserve"> 12.5</w:t>
      </w:r>
      <w:r w:rsidR="00B063EC">
        <w:t xml:space="preserve"> per cent</w:t>
      </w:r>
      <w:r w:rsidR="00E418CE">
        <w:t xml:space="preserve"> to</w:t>
      </w:r>
      <w:r w:rsidR="00B063EC">
        <w:t xml:space="preserve"> </w:t>
      </w:r>
      <w:r w:rsidR="007A7DE7">
        <w:t>8.7</w:t>
      </w:r>
      <w:r w:rsidR="00B063EC">
        <w:t xml:space="preserve"> per cent</w:t>
      </w:r>
      <w:r>
        <w:t>.</w:t>
      </w:r>
      <w:r w:rsidR="00E418CE">
        <w:t xml:space="preserve"> Over the same period</w:t>
      </w:r>
      <w:r>
        <w:t xml:space="preserve">, the </w:t>
      </w:r>
      <w:r w:rsidR="00E418CE">
        <w:t xml:space="preserve">proportion </w:t>
      </w:r>
      <w:r>
        <w:t xml:space="preserve">of non-Indigenous employees at the Executive Level </w:t>
      </w:r>
      <w:r w:rsidR="007A7DE7">
        <w:t xml:space="preserve">has remained relatively constant, </w:t>
      </w:r>
      <w:r w:rsidR="008964E4">
        <w:t xml:space="preserve">and is </w:t>
      </w:r>
      <w:r w:rsidR="007A7DE7">
        <w:t>now</w:t>
      </w:r>
      <w:r w:rsidR="00B063EC">
        <w:t xml:space="preserve"> at</w:t>
      </w:r>
      <w:r w:rsidR="007A7DE7">
        <w:t xml:space="preserve"> </w:t>
      </w:r>
      <w:r w:rsidR="00B063EC">
        <w:t>26.3 per cent</w:t>
      </w:r>
      <w:r w:rsidR="00E418CE" w:rsidRPr="00081570">
        <w:t>.</w:t>
      </w:r>
    </w:p>
    <w:p w:rsidR="00BC30C0" w:rsidRDefault="00BC30C0" w:rsidP="004D5C9C">
      <w:r w:rsidRPr="00BC30C0">
        <w:t>At the SES level, the discrepancy is larger, with 25 Indigenous SES officers compared to 2,326 non-Indigenous SES officers</w:t>
      </w:r>
      <w:r w:rsidR="00081570">
        <w:t xml:space="preserve"> </w:t>
      </w:r>
      <w:r w:rsidR="00081570" w:rsidRPr="000C3991">
        <w:t>(</w:t>
      </w:r>
      <w:r w:rsidR="00D10888" w:rsidRPr="000C3991">
        <w:t>1%</w:t>
      </w:r>
      <w:r w:rsidR="00081570" w:rsidRPr="000C3991">
        <w:t>)</w:t>
      </w:r>
      <w:r w:rsidRPr="000C3991">
        <w:t>.</w:t>
      </w:r>
      <w:r w:rsidR="00E418CE">
        <w:t xml:space="preserve">  </w:t>
      </w:r>
      <w:r w:rsidR="00963B97">
        <w:t>Furthermore, th</w:t>
      </w:r>
      <w:r w:rsidR="00E913D5">
        <w:t>is</w:t>
      </w:r>
      <w:r w:rsidR="00963B97">
        <w:t xml:space="preserve"> discrepancy has </w:t>
      </w:r>
      <w:r w:rsidR="00E913D5">
        <w:t xml:space="preserve">continued </w:t>
      </w:r>
      <w:r w:rsidR="00586E88">
        <w:t xml:space="preserve">over </w:t>
      </w:r>
      <w:r w:rsidR="00963B97">
        <w:t>the last ten years as evident from figure 3 below.</w:t>
      </w:r>
    </w:p>
    <w:p w:rsidR="007A3F94" w:rsidRDefault="007A3F94" w:rsidP="004D5C9C">
      <w:r>
        <w:t>Figure 3. SES Employee Profile</w:t>
      </w:r>
    </w:p>
    <w:p w:rsidR="002C5ED5" w:rsidRDefault="00AC49A4" w:rsidP="004D5C9C">
      <w:r>
        <w:rPr>
          <w:noProof/>
          <w:lang w:eastAsia="en-AU"/>
        </w:rPr>
        <w:drawing>
          <wp:inline distT="0" distB="0" distL="0" distR="0" wp14:anchorId="341375FA" wp14:editId="69A1D627">
            <wp:extent cx="2808000" cy="1583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000" cy="1583570"/>
                    </a:xfrm>
                    <a:prstGeom prst="rect">
                      <a:avLst/>
                    </a:prstGeom>
                    <a:noFill/>
                    <a:ln>
                      <a:noFill/>
                    </a:ln>
                  </pic:spPr>
                </pic:pic>
              </a:graphicData>
            </a:graphic>
          </wp:inline>
        </w:drawing>
      </w:r>
      <w:r>
        <w:t xml:space="preserve"> </w:t>
      </w:r>
      <w:r>
        <w:rPr>
          <w:noProof/>
          <w:lang w:eastAsia="en-AU"/>
        </w:rPr>
        <w:drawing>
          <wp:inline distT="0" distB="0" distL="0" distR="0" wp14:anchorId="00A18A50" wp14:editId="5043C101">
            <wp:extent cx="2808000" cy="1580061"/>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8000" cy="1580061"/>
                    </a:xfrm>
                    <a:prstGeom prst="rect">
                      <a:avLst/>
                    </a:prstGeom>
                    <a:noFill/>
                    <a:ln>
                      <a:noFill/>
                    </a:ln>
                  </pic:spPr>
                </pic:pic>
              </a:graphicData>
            </a:graphic>
          </wp:inline>
        </w:drawing>
      </w:r>
    </w:p>
    <w:p w:rsidR="00360A65" w:rsidRPr="00081570" w:rsidRDefault="00360A65" w:rsidP="00081570">
      <w:pPr>
        <w:pBdr>
          <w:top w:val="single" w:sz="4" w:space="1" w:color="auto"/>
          <w:left w:val="single" w:sz="4" w:space="4" w:color="auto"/>
          <w:bottom w:val="single" w:sz="4" w:space="1" w:color="auto"/>
          <w:right w:val="single" w:sz="4" w:space="4" w:color="auto"/>
        </w:pBdr>
        <w:ind w:left="360"/>
      </w:pPr>
      <w:r w:rsidRPr="00081570">
        <w:t>How can the APS drive significant reform to increase the number of Indigenous people employed at the executive level and senior executive level?</w:t>
      </w:r>
    </w:p>
    <w:p w:rsidR="0050059B" w:rsidRPr="00081570" w:rsidRDefault="0050059B" w:rsidP="00081570">
      <w:pPr>
        <w:pBdr>
          <w:top w:val="single" w:sz="4" w:space="1" w:color="auto"/>
          <w:left w:val="single" w:sz="4" w:space="4" w:color="auto"/>
          <w:bottom w:val="single" w:sz="4" w:space="1" w:color="auto"/>
          <w:right w:val="single" w:sz="4" w:space="4" w:color="auto"/>
        </w:pBdr>
        <w:ind w:left="360"/>
      </w:pPr>
      <w:r w:rsidRPr="00081570">
        <w:t xml:space="preserve">What other sectors are leading the way in attracting and retaining </w:t>
      </w:r>
      <w:r w:rsidR="00E0032E" w:rsidRPr="00081570">
        <w:t>Indigenous</w:t>
      </w:r>
      <w:r w:rsidRPr="00081570">
        <w:t xml:space="preserve"> employees and executive</w:t>
      </w:r>
      <w:r w:rsidR="00390F0C" w:rsidRPr="00081570">
        <w:t>, and can we learn from them</w:t>
      </w:r>
      <w:r w:rsidRPr="00081570">
        <w:t>?</w:t>
      </w:r>
    </w:p>
    <w:p w:rsidR="005F4305" w:rsidRPr="00081570" w:rsidRDefault="005F4305" w:rsidP="00081570">
      <w:pPr>
        <w:pBdr>
          <w:top w:val="single" w:sz="4" w:space="1" w:color="auto"/>
          <w:left w:val="single" w:sz="4" w:space="4" w:color="auto"/>
          <w:bottom w:val="single" w:sz="4" w:space="1" w:color="auto"/>
          <w:right w:val="single" w:sz="4" w:space="4" w:color="auto"/>
        </w:pBdr>
        <w:ind w:left="360"/>
      </w:pPr>
      <w:r w:rsidRPr="00081570">
        <w:t>Consider incentives to encourage the behavioura</w:t>
      </w:r>
      <w:r w:rsidR="00D10888">
        <w:t>l change amongst APS leadership.</w:t>
      </w:r>
    </w:p>
    <w:p w:rsidR="00390F0C" w:rsidRPr="00081570" w:rsidRDefault="005F4305" w:rsidP="00081570">
      <w:pPr>
        <w:pBdr>
          <w:top w:val="single" w:sz="4" w:space="1" w:color="auto"/>
          <w:left w:val="single" w:sz="4" w:space="4" w:color="auto"/>
          <w:bottom w:val="single" w:sz="4" w:space="1" w:color="auto"/>
          <w:right w:val="single" w:sz="4" w:space="4" w:color="auto"/>
        </w:pBdr>
        <w:ind w:left="360"/>
      </w:pPr>
      <w:r w:rsidRPr="00081570">
        <w:t xml:space="preserve">APS leaders need to provide a greater authorising environment for SES staff to do the same.  </w:t>
      </w:r>
    </w:p>
    <w:p w:rsidR="00390F0C" w:rsidRPr="00081570" w:rsidRDefault="00390F0C" w:rsidP="00081570">
      <w:pPr>
        <w:pBdr>
          <w:top w:val="single" w:sz="4" w:space="1" w:color="auto"/>
          <w:left w:val="single" w:sz="4" w:space="4" w:color="auto"/>
          <w:bottom w:val="single" w:sz="4" w:space="1" w:color="auto"/>
          <w:right w:val="single" w:sz="4" w:space="4" w:color="auto"/>
        </w:pBdr>
        <w:ind w:left="360"/>
      </w:pPr>
      <w:r w:rsidRPr="00081570">
        <w:t>Can we look at an option of excluding Indigenous SES numbers from the SES cap for small to mid-size agencies?</w:t>
      </w:r>
    </w:p>
    <w:p w:rsidR="00FF355E" w:rsidRPr="00081570" w:rsidRDefault="00FF355E" w:rsidP="00081570">
      <w:pPr>
        <w:pBdr>
          <w:top w:val="single" w:sz="4" w:space="1" w:color="auto"/>
          <w:left w:val="single" w:sz="4" w:space="4" w:color="auto"/>
          <w:bottom w:val="single" w:sz="4" w:space="1" w:color="auto"/>
          <w:right w:val="single" w:sz="4" w:space="4" w:color="auto"/>
        </w:pBdr>
        <w:ind w:left="360"/>
      </w:pPr>
      <w:r w:rsidRPr="00081570">
        <w:t>Improving the quality of Leadership and Development of high potential Indigenous staff.  This may include identified development</w:t>
      </w:r>
      <w:r w:rsidR="009C6D9C" w:rsidRPr="00081570">
        <w:t xml:space="preserve"> pathways</w:t>
      </w:r>
      <w:r w:rsidR="005F4305" w:rsidRPr="00081570">
        <w:t>.  (</w:t>
      </w:r>
      <w:proofErr w:type="gramStart"/>
      <w:r w:rsidR="005F4305" w:rsidRPr="00081570">
        <w:t>T</w:t>
      </w:r>
      <w:r w:rsidR="009C6D9C" w:rsidRPr="00081570">
        <w:t xml:space="preserve">his </w:t>
      </w:r>
      <w:r w:rsidR="005F4305" w:rsidRPr="00081570">
        <w:t xml:space="preserve">potentially </w:t>
      </w:r>
      <w:r w:rsidR="009C6D9C" w:rsidRPr="00081570">
        <w:t>could be developed by a strengthened APSC unit</w:t>
      </w:r>
      <w:proofErr w:type="gramEnd"/>
      <w:r w:rsidR="009C6D9C" w:rsidRPr="00081570">
        <w:t>)</w:t>
      </w:r>
      <w:r w:rsidR="00D10888">
        <w:t>.</w:t>
      </w:r>
    </w:p>
    <w:p w:rsidR="00963B97" w:rsidRPr="00963B97" w:rsidRDefault="00963B97" w:rsidP="00963B97">
      <w:pPr>
        <w:rPr>
          <w:b/>
        </w:rPr>
      </w:pPr>
      <w:r w:rsidRPr="00963B97">
        <w:rPr>
          <w:b/>
        </w:rPr>
        <w:t>Career Progression</w:t>
      </w:r>
    </w:p>
    <w:p w:rsidR="0050059B" w:rsidRDefault="00BC30C0" w:rsidP="00081570">
      <w:r>
        <w:t>APSED</w:t>
      </w:r>
      <w:r w:rsidR="00E418CE">
        <w:t xml:space="preserve"> (</w:t>
      </w:r>
      <w:r w:rsidR="007A7DE7">
        <w:t>APS Employment Database</w:t>
      </w:r>
      <w:r w:rsidR="00E418CE">
        <w:t>)</w:t>
      </w:r>
      <w:r>
        <w:t xml:space="preserve"> data shows that Indigenous employees accounted for 3.1 per cent of all promotions during 2016-17. </w:t>
      </w:r>
      <w:r w:rsidR="00963B97">
        <w:t>While this figure is close to parity, a</w:t>
      </w:r>
      <w:r>
        <w:t>lmost half (49.9 per cent) of promotions of Indigenous employees were at or below the APS 4 classification</w:t>
      </w:r>
      <w:r w:rsidR="001A7021">
        <w:t xml:space="preserve"> </w:t>
      </w:r>
      <w:r w:rsidR="001A7021" w:rsidRPr="00081570">
        <w:t xml:space="preserve">compared to </w:t>
      </w:r>
      <w:r w:rsidR="003B04FD" w:rsidRPr="00081570">
        <w:t>19.1</w:t>
      </w:r>
      <w:r w:rsidR="00A179A7" w:rsidRPr="00081570">
        <w:t xml:space="preserve"> per cent</w:t>
      </w:r>
      <w:r w:rsidR="001A7021" w:rsidRPr="00081570">
        <w:t xml:space="preserve"> for APS wide</w:t>
      </w:r>
      <w:r>
        <w:t>.</w:t>
      </w:r>
    </w:p>
    <w:p w:rsidR="00081570" w:rsidRPr="00081570" w:rsidRDefault="00081570" w:rsidP="00081570">
      <w:pPr>
        <w:pBdr>
          <w:top w:val="single" w:sz="4" w:space="1" w:color="auto"/>
          <w:left w:val="single" w:sz="4" w:space="4" w:color="auto"/>
          <w:bottom w:val="single" w:sz="4" w:space="1" w:color="auto"/>
          <w:right w:val="single" w:sz="4" w:space="4" w:color="auto"/>
        </w:pBdr>
        <w:ind w:left="360"/>
      </w:pPr>
      <w:r w:rsidRPr="00081570">
        <w:t xml:space="preserve">As a recruitment strategy to employ Indigenous people, Affirmative measure—Indigenous employment is used. </w:t>
      </w:r>
      <w:proofErr w:type="gramStart"/>
      <w:r w:rsidRPr="00081570">
        <w:t>Can this recruitment strategy be used</w:t>
      </w:r>
      <w:proofErr w:type="gramEnd"/>
      <w:r w:rsidRPr="00081570">
        <w:t xml:space="preserve"> more broadly to maximise its effectiveness?</w:t>
      </w:r>
    </w:p>
    <w:p w:rsidR="00081570" w:rsidRPr="00081570" w:rsidRDefault="00081570" w:rsidP="00081570">
      <w:pPr>
        <w:pBdr>
          <w:top w:val="single" w:sz="4" w:space="1" w:color="auto"/>
          <w:left w:val="single" w:sz="4" w:space="4" w:color="auto"/>
          <w:bottom w:val="single" w:sz="4" w:space="1" w:color="auto"/>
          <w:right w:val="single" w:sz="4" w:space="4" w:color="auto"/>
        </w:pBdr>
        <w:ind w:left="360"/>
      </w:pPr>
      <w:r>
        <w:lastRenderedPageBreak/>
        <w:t xml:space="preserve">What are </w:t>
      </w:r>
      <w:r w:rsidRPr="00081570">
        <w:t>the opportunities to explore greater mobility of employees across the government and non-government sector?</w:t>
      </w:r>
    </w:p>
    <w:p w:rsidR="00081570" w:rsidRPr="00081570" w:rsidRDefault="00081570" w:rsidP="00081570">
      <w:pPr>
        <w:pBdr>
          <w:top w:val="single" w:sz="4" w:space="1" w:color="auto"/>
          <w:left w:val="single" w:sz="4" w:space="4" w:color="auto"/>
          <w:bottom w:val="single" w:sz="4" w:space="1" w:color="auto"/>
          <w:right w:val="single" w:sz="4" w:space="4" w:color="auto"/>
        </w:pBdr>
        <w:ind w:left="360"/>
      </w:pPr>
      <w:r w:rsidRPr="00081570">
        <w:t>Develop Indigenous Employment targets that better reflect</w:t>
      </w:r>
      <w:r>
        <w:t xml:space="preserve"> areas-</w:t>
      </w:r>
      <w:r w:rsidRPr="00081570">
        <w:t>of</w:t>
      </w:r>
      <w:r>
        <w:t>-</w:t>
      </w:r>
      <w:r w:rsidRPr="00081570">
        <w:t>need for improvement, such as</w:t>
      </w:r>
      <w:r>
        <w:t xml:space="preserve"> under-representation in the employee classification</w:t>
      </w:r>
      <w:r w:rsidRPr="00081570">
        <w:t xml:space="preserve"> profile and spread across the various portfolios.  An overall single percentage target is not precise enough to drive behaviour to where it is needed e.g. if the current target can met by expanding entry-level programs</w:t>
      </w:r>
      <w:r>
        <w:t>—</w:t>
      </w:r>
      <w:r w:rsidRPr="00081570">
        <w:t xml:space="preserve">what incentive is there to change? </w:t>
      </w:r>
      <w:bookmarkStart w:id="0" w:name="_GoBack"/>
      <w:bookmarkEnd w:id="0"/>
    </w:p>
    <w:p w:rsidR="00963B97" w:rsidRPr="00963B97" w:rsidRDefault="00963B97" w:rsidP="00963B97">
      <w:pPr>
        <w:rPr>
          <w:b/>
        </w:rPr>
      </w:pPr>
      <w:r w:rsidRPr="00963B97">
        <w:rPr>
          <w:b/>
        </w:rPr>
        <w:t>Length of Service</w:t>
      </w:r>
    </w:p>
    <w:p w:rsidR="00BC30C0" w:rsidRDefault="00BC30C0" w:rsidP="00963B97">
      <w:r>
        <w:t>The median length of service for Indigenous employees is 7 years. This is 4 years lower than the APS wide median length of service of 11 years.</w:t>
      </w:r>
      <w:r w:rsidR="001A7021">
        <w:t xml:space="preserve">  This discrepancy is partly the result of the recent acceleration of Indigenous </w:t>
      </w:r>
      <w:r w:rsidR="00081570">
        <w:t>entry-level</w:t>
      </w:r>
      <w:r w:rsidR="001A7021">
        <w:t xml:space="preserve"> recruitment.</w:t>
      </w:r>
    </w:p>
    <w:p w:rsidR="00BC30C0" w:rsidRDefault="001A7021" w:rsidP="004C26B6">
      <w:pPr>
        <w:rPr>
          <w:b/>
        </w:rPr>
      </w:pPr>
      <w:r>
        <w:rPr>
          <w:b/>
        </w:rPr>
        <w:t>Changing nature of work in the APS</w:t>
      </w:r>
    </w:p>
    <w:p w:rsidR="00B128D6" w:rsidRDefault="001A7021" w:rsidP="004C26B6">
      <w:r w:rsidRPr="001A7021">
        <w:t>Over the last ten years</w:t>
      </w:r>
      <w:r>
        <w:t xml:space="preserve">, the work of the APS has changed dramatically due to advances in technology, </w:t>
      </w:r>
      <w:r w:rsidR="00D8288D">
        <w:t xml:space="preserve">increased utilisation of the service sector as a delivery arm for government and </w:t>
      </w:r>
      <w:r>
        <w:t>inter-government agreements that have transferred functions to the state governments</w:t>
      </w:r>
      <w:r w:rsidR="00D8288D">
        <w:t>.</w:t>
      </w:r>
    </w:p>
    <w:p w:rsidR="00D8288D" w:rsidRDefault="00D8288D" w:rsidP="004C26B6">
      <w:r>
        <w:t>As a result, there is a greater focus on policy development and reduced opportunities for service delivery.  This shift in focus has a greater impact on Indigenous employees who are located outside of Canberra</w:t>
      </w:r>
      <w:r w:rsidR="00E5673A">
        <w:t>; the hub of policy development</w:t>
      </w:r>
      <w:r>
        <w:t>, as fig</w:t>
      </w:r>
      <w:r w:rsidR="00A95CF6">
        <w:t>ure</w:t>
      </w:r>
      <w:r>
        <w:t xml:space="preserve"> 4 demonstr</w:t>
      </w:r>
      <w:r w:rsidR="00586E88">
        <w:t>ates</w:t>
      </w:r>
      <w:r>
        <w:t>.</w:t>
      </w:r>
    </w:p>
    <w:p w:rsidR="00407A16" w:rsidRDefault="00407A16" w:rsidP="004C26B6">
      <w:r>
        <w:t xml:space="preserve">Figure 4. </w:t>
      </w:r>
      <w:r w:rsidRPr="00407A16">
        <w:t>APS Employee Location</w:t>
      </w:r>
    </w:p>
    <w:p w:rsidR="00B128D6" w:rsidRDefault="00407A16" w:rsidP="004C26B6">
      <w:r>
        <w:rPr>
          <w:noProof/>
          <w:lang w:eastAsia="en-AU"/>
        </w:rPr>
        <w:drawing>
          <wp:inline distT="0" distB="0" distL="0" distR="0" wp14:anchorId="52502811" wp14:editId="681DFE46">
            <wp:extent cx="2808000" cy="174391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000" cy="1743916"/>
                    </a:xfrm>
                    <a:prstGeom prst="rect">
                      <a:avLst/>
                    </a:prstGeom>
                    <a:noFill/>
                  </pic:spPr>
                </pic:pic>
              </a:graphicData>
            </a:graphic>
          </wp:inline>
        </w:drawing>
      </w:r>
      <w:r>
        <w:t xml:space="preserve"> </w:t>
      </w:r>
      <w:r>
        <w:rPr>
          <w:noProof/>
          <w:lang w:eastAsia="en-AU"/>
        </w:rPr>
        <w:drawing>
          <wp:inline distT="0" distB="0" distL="0" distR="0" wp14:anchorId="61B0A50F" wp14:editId="50B9244A">
            <wp:extent cx="2808000" cy="174391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8000" cy="1743916"/>
                    </a:xfrm>
                    <a:prstGeom prst="rect">
                      <a:avLst/>
                    </a:prstGeom>
                    <a:noFill/>
                  </pic:spPr>
                </pic:pic>
              </a:graphicData>
            </a:graphic>
          </wp:inline>
        </w:drawing>
      </w:r>
    </w:p>
    <w:p w:rsidR="00360A65" w:rsidRPr="00B128D6" w:rsidRDefault="00360A65" w:rsidP="00360A65">
      <w:pPr>
        <w:pBdr>
          <w:top w:val="single" w:sz="4" w:space="1" w:color="auto"/>
          <w:left w:val="single" w:sz="4" w:space="4" w:color="auto"/>
          <w:bottom w:val="single" w:sz="4" w:space="1" w:color="auto"/>
          <w:right w:val="single" w:sz="4" w:space="4" w:color="auto"/>
        </w:pBdr>
        <w:ind w:left="360"/>
      </w:pPr>
      <w:r>
        <w:t>How does the government most ef</w:t>
      </w:r>
      <w:r w:rsidR="00D10888">
        <w:t>fectively engage with its workf</w:t>
      </w:r>
      <w:r>
        <w:t>orce given that the demographics show that the majority of positons are outside of Canberra</w:t>
      </w:r>
      <w:r w:rsidR="00E0032E">
        <w:t>?</w:t>
      </w:r>
    </w:p>
    <w:p w:rsidR="00961BE0" w:rsidRDefault="00961BE0" w:rsidP="00961BE0">
      <w:pPr>
        <w:pBdr>
          <w:top w:val="single" w:sz="4" w:space="1" w:color="auto"/>
          <w:left w:val="single" w:sz="4" w:space="4" w:color="auto"/>
          <w:bottom w:val="single" w:sz="4" w:space="1" w:color="auto"/>
          <w:right w:val="single" w:sz="4" w:space="4" w:color="auto"/>
        </w:pBdr>
        <w:ind w:left="360"/>
      </w:pPr>
      <w:r>
        <w:t xml:space="preserve">Given that </w:t>
      </w:r>
      <w:proofErr w:type="gramStart"/>
      <w:r>
        <w:t>Indigenous</w:t>
      </w:r>
      <w:proofErr w:type="gramEnd"/>
      <w:r>
        <w:t xml:space="preserve"> people are re</w:t>
      </w:r>
      <w:r w:rsidR="004E14E5">
        <w:t>presented at a regional level—</w:t>
      </w:r>
      <w:r>
        <w:t>how do we make them a central platform for policy? How do we support a regional presence?</w:t>
      </w:r>
    </w:p>
    <w:p w:rsidR="00961BE0" w:rsidRDefault="00961BE0" w:rsidP="00961BE0">
      <w:pPr>
        <w:pBdr>
          <w:top w:val="single" w:sz="4" w:space="1" w:color="auto"/>
          <w:left w:val="single" w:sz="4" w:space="4" w:color="auto"/>
          <w:bottom w:val="single" w:sz="4" w:space="1" w:color="auto"/>
          <w:right w:val="single" w:sz="4" w:space="4" w:color="auto"/>
        </w:pBdr>
        <w:ind w:left="360"/>
      </w:pPr>
      <w:r>
        <w:t xml:space="preserve">Consideration </w:t>
      </w:r>
      <w:proofErr w:type="gramStart"/>
      <w:r>
        <w:t>should be given</w:t>
      </w:r>
      <w:proofErr w:type="gramEnd"/>
      <w:r>
        <w:t xml:space="preserve"> to the skill sets of future Indigenous students at secondary and tertiary levels to meet the changing skills required in the APS. </w:t>
      </w:r>
    </w:p>
    <w:p w:rsidR="00961BE0" w:rsidRDefault="00E5673A" w:rsidP="004E14E5">
      <w:r w:rsidRPr="00E5673A">
        <w:t>Furthermore,</w:t>
      </w:r>
      <w:r>
        <w:t xml:space="preserve"> the </w:t>
      </w:r>
      <w:r w:rsidR="00D7780F">
        <w:t>proportion</w:t>
      </w:r>
      <w:r>
        <w:t xml:space="preserve"> of Indigenous employees </w:t>
      </w:r>
      <w:r w:rsidR="00D7780F">
        <w:t xml:space="preserve">working in front </w:t>
      </w:r>
      <w:proofErr w:type="gramStart"/>
      <w:r w:rsidR="00D7780F">
        <w:t>line service delivery</w:t>
      </w:r>
      <w:r w:rsidR="00586E88">
        <w:t xml:space="preserve"> positions</w:t>
      </w:r>
      <w:proofErr w:type="gramEnd"/>
      <w:r w:rsidR="00586E88">
        <w:t xml:space="preserve"> (generally with lower APS classifications)</w:t>
      </w:r>
      <w:r w:rsidR="00D7780F">
        <w:t xml:space="preserve"> is higher than non-Indigenous</w:t>
      </w:r>
      <w:r w:rsidR="00586E88">
        <w:t xml:space="preserve"> employees.  A</w:t>
      </w:r>
      <w:r w:rsidR="00D7780F">
        <w:t xml:space="preserve">s a result, </w:t>
      </w:r>
      <w:r w:rsidR="00586E88">
        <w:t xml:space="preserve">Indigenous employees </w:t>
      </w:r>
      <w:r w:rsidR="00D7780F">
        <w:t xml:space="preserve">are more likely to have their employment and career prospects adversely </w:t>
      </w:r>
      <w:r w:rsidR="00D7780F">
        <w:lastRenderedPageBreak/>
        <w:t>impacted by outsourcing and technology advancements (such as self-help apps).  For example</w:t>
      </w:r>
      <w:r w:rsidR="00D7780F" w:rsidRPr="00416951">
        <w:t xml:space="preserve">, </w:t>
      </w:r>
      <w:r w:rsidR="00946F71" w:rsidRPr="004E14E5">
        <w:t xml:space="preserve">42 per cent of </w:t>
      </w:r>
      <w:r w:rsidR="00D7780F" w:rsidRPr="004E14E5">
        <w:t xml:space="preserve">Indigenous employees </w:t>
      </w:r>
      <w:proofErr w:type="gramStart"/>
      <w:r w:rsidR="00D7780F" w:rsidRPr="004E14E5">
        <w:t>are employed</w:t>
      </w:r>
      <w:proofErr w:type="gramEnd"/>
      <w:r w:rsidR="00D7780F" w:rsidRPr="004E14E5">
        <w:t xml:space="preserve"> in </w:t>
      </w:r>
      <w:r w:rsidR="00D557EE" w:rsidRPr="004E14E5">
        <w:t>the Department of Human Services, Department of Home Affairs and the National Disability Insurance Agency</w:t>
      </w:r>
      <w:r w:rsidR="004E14E5">
        <w:t>,</w:t>
      </w:r>
      <w:r w:rsidR="00D7780F" w:rsidRPr="004E14E5">
        <w:t xml:space="preserve"> agencies</w:t>
      </w:r>
      <w:r w:rsidR="00D7780F">
        <w:t xml:space="preserve"> with a focus on service delivery.</w:t>
      </w:r>
    </w:p>
    <w:p w:rsidR="00961BE0" w:rsidRDefault="00E0032E" w:rsidP="00E0032E">
      <w:pPr>
        <w:pBdr>
          <w:top w:val="single" w:sz="4" w:space="1" w:color="auto"/>
          <w:left w:val="single" w:sz="4" w:space="4" w:color="auto"/>
          <w:bottom w:val="single" w:sz="4" w:space="1" w:color="auto"/>
          <w:right w:val="single" w:sz="4" w:space="4" w:color="auto"/>
        </w:pBdr>
        <w:ind w:left="360"/>
      </w:pPr>
      <w:r w:rsidRPr="00E0032E">
        <w:t>What</w:t>
      </w:r>
      <w:r w:rsidR="00961BE0" w:rsidRPr="00E0032E">
        <w:t xml:space="preserve"> development </w:t>
      </w:r>
      <w:r w:rsidRPr="00E0032E">
        <w:t xml:space="preserve">opportunities are required to </w:t>
      </w:r>
      <w:r w:rsidR="005F3EB9">
        <w:t>e</w:t>
      </w:r>
      <w:r w:rsidRPr="00E0032E">
        <w:t>nsure Indigenous employees are equipped with the skills needed for the future work of the APS?</w:t>
      </w:r>
    </w:p>
    <w:p w:rsidR="00961BE0" w:rsidRDefault="00961BE0" w:rsidP="004E14E5">
      <w:r>
        <w:t>The APS is increasing</w:t>
      </w:r>
      <w:r w:rsidR="00E0032E">
        <w:t xml:space="preserve">ly </w:t>
      </w:r>
      <w:r>
        <w:t>a blended workforce (contract</w:t>
      </w:r>
      <w:r w:rsidR="005F3EB9">
        <w:t>or</w:t>
      </w:r>
      <w:r>
        <w:t>s and labour hire).  While this is also the case for many other sectors, Indigenous employees highly value the level of employment security offered by the APS</w:t>
      </w:r>
      <w:r w:rsidR="005A5F99">
        <w:t>—</w:t>
      </w:r>
      <w:r w:rsidR="008A1034">
        <w:t xml:space="preserve">69.3 per cent </w:t>
      </w:r>
      <w:r w:rsidR="00B40B83">
        <w:t xml:space="preserve">of Indigenous respondents to the 2017 </w:t>
      </w:r>
      <w:r w:rsidR="005A5F99">
        <w:t>APS employee census</w:t>
      </w:r>
      <w:r w:rsidR="00B40B83">
        <w:t xml:space="preserve"> are</w:t>
      </w:r>
      <w:r w:rsidR="005A5F99">
        <w:t xml:space="preserve"> satisfied with the “</w:t>
      </w:r>
      <w:r w:rsidR="005A5F99" w:rsidRPr="005A5F99">
        <w:t>stability and security</w:t>
      </w:r>
      <w:r w:rsidR="005A5F99">
        <w:t>”</w:t>
      </w:r>
      <w:r w:rsidR="005A5F99" w:rsidRPr="005A5F99">
        <w:t xml:space="preserve"> </w:t>
      </w:r>
      <w:r w:rsidR="0088267E">
        <w:t xml:space="preserve">of </w:t>
      </w:r>
      <w:r w:rsidR="005A5F99">
        <w:t xml:space="preserve">their </w:t>
      </w:r>
      <w:r w:rsidR="005A5F99" w:rsidRPr="005A5F99">
        <w:t>current job</w:t>
      </w:r>
      <w:r>
        <w:t>.</w:t>
      </w:r>
      <w:r w:rsidR="005A5F99">
        <w:rPr>
          <w:rStyle w:val="FootnoteReference"/>
        </w:rPr>
        <w:footnoteReference w:id="3"/>
      </w:r>
      <w:r>
        <w:t xml:space="preserve">  This securi</w:t>
      </w:r>
      <w:r w:rsidR="00E0032E">
        <w:t>ty is a point of difference</w:t>
      </w:r>
      <w:r>
        <w:t xml:space="preserve"> for the APS, and in a competitive market for Indigenous talent, reductions in security will likely result in a deterioration in Indigenous numbers, proportions and profiles.</w:t>
      </w:r>
    </w:p>
    <w:p w:rsidR="00A07383" w:rsidRPr="004E14E5" w:rsidRDefault="00E0032E" w:rsidP="004E14E5">
      <w:pPr>
        <w:pBdr>
          <w:top w:val="single" w:sz="4" w:space="1" w:color="auto"/>
          <w:left w:val="single" w:sz="4" w:space="4" w:color="auto"/>
          <w:bottom w:val="single" w:sz="4" w:space="1" w:color="auto"/>
          <w:right w:val="single" w:sz="4" w:space="4" w:color="auto"/>
        </w:pBdr>
        <w:ind w:left="426"/>
      </w:pPr>
      <w:r w:rsidRPr="00E0032E">
        <w:t>How can the APS raise its pr</w:t>
      </w:r>
      <w:r w:rsidR="0050059B" w:rsidRPr="00E0032E">
        <w:t xml:space="preserve">ofile as a </w:t>
      </w:r>
      <w:r w:rsidRPr="00E0032E">
        <w:t xml:space="preserve">great </w:t>
      </w:r>
      <w:r w:rsidR="0050059B" w:rsidRPr="00E0032E">
        <w:t>place to work for Ind</w:t>
      </w:r>
      <w:r w:rsidRPr="00E0032E">
        <w:t xml:space="preserve">igenous people and reduce the </w:t>
      </w:r>
      <w:r w:rsidRPr="004E14E5">
        <w:t>reliance on tenure?</w:t>
      </w:r>
    </w:p>
    <w:p w:rsidR="00EA10DB" w:rsidRPr="004E14E5" w:rsidRDefault="008D37FA" w:rsidP="004E14E5">
      <w:pPr>
        <w:pBdr>
          <w:top w:val="single" w:sz="4" w:space="1" w:color="auto"/>
          <w:left w:val="single" w:sz="4" w:space="4" w:color="auto"/>
          <w:bottom w:val="single" w:sz="4" w:space="1" w:color="auto"/>
          <w:right w:val="single" w:sz="4" w:space="4" w:color="auto"/>
        </w:pBdr>
        <w:ind w:left="426"/>
      </w:pPr>
      <w:r w:rsidRPr="004E14E5">
        <w:t xml:space="preserve">We also need to simplify the </w:t>
      </w:r>
      <w:r w:rsidR="001D3FD4" w:rsidRPr="004E14E5">
        <w:t>process</w:t>
      </w:r>
      <w:r w:rsidRPr="004E14E5">
        <w:t xml:space="preserve"> of staff to move between agencies</w:t>
      </w:r>
      <w:r w:rsidR="004E14E5">
        <w:t>—</w:t>
      </w:r>
      <w:r w:rsidRPr="004E14E5">
        <w:t>this is essential to broadenin</w:t>
      </w:r>
      <w:r w:rsidR="00DF0777" w:rsidRPr="004E14E5">
        <w:t>g</w:t>
      </w:r>
      <w:r w:rsidRPr="004E14E5">
        <w:t xml:space="preserve"> capability</w:t>
      </w:r>
      <w:r w:rsidR="001D3FD4" w:rsidRPr="004E14E5">
        <w:t>,</w:t>
      </w:r>
      <w:r w:rsidR="003751A4" w:rsidRPr="004E14E5">
        <w:t xml:space="preserve"> </w:t>
      </w:r>
      <w:r w:rsidR="001D3FD4" w:rsidRPr="004E14E5">
        <w:t>diversity</w:t>
      </w:r>
      <w:r w:rsidRPr="004E14E5">
        <w:t xml:space="preserve"> and skills. </w:t>
      </w:r>
    </w:p>
    <w:p w:rsidR="009C07E1" w:rsidRDefault="009C07E1" w:rsidP="0050059B"/>
    <w:sectPr w:rsidR="009C07E1" w:rsidSect="002715D7">
      <w:footerReference w:type="default" r:id="rId16"/>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F5" w:rsidRDefault="00107DF5" w:rsidP="00BC30C0">
      <w:pPr>
        <w:spacing w:after="0" w:line="240" w:lineRule="auto"/>
      </w:pPr>
      <w:r>
        <w:separator/>
      </w:r>
    </w:p>
  </w:endnote>
  <w:endnote w:type="continuationSeparator" w:id="0">
    <w:p w:rsidR="00107DF5" w:rsidRDefault="00107DF5" w:rsidP="00B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59" w:rsidRPr="004E14E5" w:rsidRDefault="00F32B59">
    <w:pPr>
      <w:pStyle w:val="Footer"/>
      <w:jc w:val="center"/>
      <w:rPr>
        <w:caps/>
        <w:noProof/>
      </w:rPr>
    </w:pPr>
    <w:r w:rsidRPr="00F32B59">
      <w:t xml:space="preserve">Submission by APS Indigenous SES Steering Committee   </w:t>
    </w:r>
    <w:r w:rsidRPr="004E14E5">
      <w:rPr>
        <w:caps/>
      </w:rPr>
      <w:fldChar w:fldCharType="begin"/>
    </w:r>
    <w:r w:rsidRPr="004E14E5">
      <w:rPr>
        <w:caps/>
      </w:rPr>
      <w:instrText xml:space="preserve"> PAGE   \* MERGEFORMAT </w:instrText>
    </w:r>
    <w:r w:rsidRPr="004E14E5">
      <w:rPr>
        <w:caps/>
      </w:rPr>
      <w:fldChar w:fldCharType="separate"/>
    </w:r>
    <w:r w:rsidR="00262563">
      <w:rPr>
        <w:caps/>
        <w:noProof/>
      </w:rPr>
      <w:t>5</w:t>
    </w:r>
    <w:r w:rsidRPr="004E14E5">
      <w:rPr>
        <w:caps/>
        <w:noProof/>
      </w:rPr>
      <w:fldChar w:fldCharType="end"/>
    </w:r>
  </w:p>
  <w:p w:rsidR="00F32B59" w:rsidRDefault="00F3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F5" w:rsidRDefault="00107DF5" w:rsidP="00BC30C0">
      <w:pPr>
        <w:spacing w:after="0" w:line="240" w:lineRule="auto"/>
      </w:pPr>
      <w:r>
        <w:separator/>
      </w:r>
    </w:p>
  </w:footnote>
  <w:footnote w:type="continuationSeparator" w:id="0">
    <w:p w:rsidR="00107DF5" w:rsidRDefault="00107DF5" w:rsidP="00BC30C0">
      <w:pPr>
        <w:spacing w:after="0" w:line="240" w:lineRule="auto"/>
      </w:pPr>
      <w:r>
        <w:continuationSeparator/>
      </w:r>
    </w:p>
  </w:footnote>
  <w:footnote w:id="1">
    <w:p w:rsidR="00E37776" w:rsidRPr="002715D7" w:rsidRDefault="00E37776">
      <w:pPr>
        <w:pStyle w:val="FootnoteText"/>
        <w:rPr>
          <w:sz w:val="16"/>
          <w:szCs w:val="16"/>
          <w:lang w:val="en-AU"/>
        </w:rPr>
      </w:pPr>
      <w:r w:rsidRPr="002715D7">
        <w:rPr>
          <w:rStyle w:val="FootnoteReference"/>
          <w:sz w:val="16"/>
          <w:szCs w:val="16"/>
        </w:rPr>
        <w:footnoteRef/>
      </w:r>
      <w:r w:rsidRPr="002715D7">
        <w:rPr>
          <w:sz w:val="16"/>
          <w:szCs w:val="16"/>
        </w:rPr>
        <w:t xml:space="preserve"> </w:t>
      </w:r>
      <w:r w:rsidRPr="002715D7">
        <w:rPr>
          <w:sz w:val="16"/>
          <w:szCs w:val="16"/>
          <w:lang w:val="en-AU"/>
        </w:rPr>
        <w:t>Indigenous reference incorporates Aboriginal and Torres Strait Islander people</w:t>
      </w:r>
      <w:r w:rsidR="005A5F99" w:rsidRPr="002715D7">
        <w:rPr>
          <w:sz w:val="16"/>
          <w:szCs w:val="16"/>
          <w:lang w:val="en-AU"/>
        </w:rPr>
        <w:t>.</w:t>
      </w:r>
    </w:p>
  </w:footnote>
  <w:footnote w:id="2">
    <w:p w:rsidR="005A5F99" w:rsidRPr="002715D7" w:rsidRDefault="005A5F99">
      <w:pPr>
        <w:pStyle w:val="FootnoteText"/>
        <w:rPr>
          <w:lang w:val="en-AU"/>
        </w:rPr>
      </w:pPr>
      <w:r w:rsidRPr="002715D7">
        <w:rPr>
          <w:rStyle w:val="FootnoteReference"/>
          <w:sz w:val="16"/>
          <w:szCs w:val="16"/>
        </w:rPr>
        <w:footnoteRef/>
      </w:r>
      <w:r w:rsidRPr="002715D7">
        <w:rPr>
          <w:sz w:val="16"/>
          <w:szCs w:val="16"/>
        </w:rPr>
        <w:t xml:space="preserve"> Note: Data </w:t>
      </w:r>
      <w:proofErr w:type="gramStart"/>
      <w:r w:rsidRPr="002715D7">
        <w:rPr>
          <w:sz w:val="16"/>
          <w:szCs w:val="16"/>
        </w:rPr>
        <w:t>has been omitted</w:t>
      </w:r>
      <w:proofErr w:type="gramEnd"/>
      <w:r w:rsidRPr="002715D7">
        <w:rPr>
          <w:sz w:val="16"/>
          <w:szCs w:val="16"/>
        </w:rPr>
        <w:t xml:space="preserve"> for employees that have chosen not to disclose their Indigenous status</w:t>
      </w:r>
      <w:r w:rsidR="00423031">
        <w:rPr>
          <w:sz w:val="16"/>
          <w:szCs w:val="16"/>
        </w:rPr>
        <w:t>.</w:t>
      </w:r>
      <w:r w:rsidRPr="002715D7">
        <w:rPr>
          <w:sz w:val="16"/>
          <w:szCs w:val="16"/>
        </w:rPr>
        <w:t xml:space="preserve"> </w:t>
      </w:r>
      <w:r w:rsidR="00423031">
        <w:rPr>
          <w:sz w:val="16"/>
          <w:szCs w:val="16"/>
        </w:rPr>
        <w:t>A</w:t>
      </w:r>
      <w:r w:rsidRPr="002715D7">
        <w:rPr>
          <w:sz w:val="16"/>
          <w:szCs w:val="16"/>
        </w:rPr>
        <w:t>s such</w:t>
      </w:r>
      <w:r w:rsidR="00423031">
        <w:rPr>
          <w:sz w:val="16"/>
          <w:szCs w:val="16"/>
        </w:rPr>
        <w:t>,</w:t>
      </w:r>
      <w:r w:rsidRPr="002715D7">
        <w:rPr>
          <w:sz w:val="16"/>
          <w:szCs w:val="16"/>
        </w:rPr>
        <w:t xml:space="preserve"> percentages may not </w:t>
      </w:r>
      <w:r w:rsidR="00423031">
        <w:rPr>
          <w:sz w:val="16"/>
          <w:szCs w:val="16"/>
        </w:rPr>
        <w:t xml:space="preserve">total </w:t>
      </w:r>
      <w:r w:rsidRPr="002715D7">
        <w:rPr>
          <w:sz w:val="16"/>
          <w:szCs w:val="16"/>
        </w:rPr>
        <w:t>100 per cent on certain graphs</w:t>
      </w:r>
      <w:r w:rsidR="00416951">
        <w:rPr>
          <w:sz w:val="16"/>
          <w:szCs w:val="16"/>
        </w:rPr>
        <w:t xml:space="preserve"> throughout this paper</w:t>
      </w:r>
      <w:r w:rsidRPr="002715D7">
        <w:rPr>
          <w:sz w:val="16"/>
          <w:szCs w:val="16"/>
        </w:rPr>
        <w:t>.</w:t>
      </w:r>
    </w:p>
  </w:footnote>
  <w:footnote w:id="3">
    <w:p w:rsidR="005A5F99" w:rsidRPr="004E14E5" w:rsidRDefault="005A5F99">
      <w:pPr>
        <w:pStyle w:val="FootnoteText"/>
        <w:rPr>
          <w:sz w:val="16"/>
          <w:szCs w:val="16"/>
          <w:lang w:val="en-AU"/>
        </w:rPr>
      </w:pPr>
      <w:r w:rsidRPr="002715D7">
        <w:rPr>
          <w:rStyle w:val="FootnoteReference"/>
          <w:sz w:val="16"/>
          <w:szCs w:val="16"/>
        </w:rPr>
        <w:footnoteRef/>
      </w:r>
      <w:r w:rsidRPr="002715D7">
        <w:rPr>
          <w:sz w:val="16"/>
          <w:szCs w:val="16"/>
        </w:rPr>
        <w:t xml:space="preserve"> </w:t>
      </w:r>
      <w:r w:rsidRPr="002715D7">
        <w:rPr>
          <w:sz w:val="16"/>
          <w:szCs w:val="16"/>
          <w:lang w:val="en-AU"/>
        </w:rPr>
        <w:t xml:space="preserve">2017 APS employee census, </w:t>
      </w:r>
      <w:r w:rsidR="0088267E" w:rsidRPr="002715D7">
        <w:rPr>
          <w:sz w:val="16"/>
          <w:szCs w:val="16"/>
          <w:lang w:val="en-AU"/>
        </w:rPr>
        <w:t xml:space="preserve">per cent of Indigenous respondents that </w:t>
      </w:r>
      <w:r w:rsidRPr="002715D7">
        <w:rPr>
          <w:sz w:val="16"/>
          <w:szCs w:val="16"/>
          <w:lang w:val="en-AU"/>
        </w:rPr>
        <w:t>agree or strongly agree.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797"/>
    <w:multiLevelType w:val="hybridMultilevel"/>
    <w:tmpl w:val="B098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70C19"/>
    <w:multiLevelType w:val="hybridMultilevel"/>
    <w:tmpl w:val="B6B016BA"/>
    <w:lvl w:ilvl="0" w:tplc="7A569E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C5826"/>
    <w:multiLevelType w:val="hybridMultilevel"/>
    <w:tmpl w:val="CD5A6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1D5DE2"/>
    <w:multiLevelType w:val="hybridMultilevel"/>
    <w:tmpl w:val="F676AC62"/>
    <w:lvl w:ilvl="0" w:tplc="7A569E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E7769"/>
    <w:multiLevelType w:val="hybridMultilevel"/>
    <w:tmpl w:val="A768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C15C6"/>
    <w:multiLevelType w:val="hybridMultilevel"/>
    <w:tmpl w:val="EB3863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C407680"/>
    <w:multiLevelType w:val="hybridMultilevel"/>
    <w:tmpl w:val="1A3E1504"/>
    <w:lvl w:ilvl="0" w:tplc="A19C54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33090"/>
    <w:multiLevelType w:val="hybridMultilevel"/>
    <w:tmpl w:val="C0482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81C35"/>
    <w:multiLevelType w:val="hybridMultilevel"/>
    <w:tmpl w:val="CB6A3D8E"/>
    <w:lvl w:ilvl="0" w:tplc="A19C54F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3A45D7"/>
    <w:multiLevelType w:val="hybridMultilevel"/>
    <w:tmpl w:val="16425C2A"/>
    <w:lvl w:ilvl="0" w:tplc="7A569E46">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6B7C0F"/>
    <w:multiLevelType w:val="hybridMultilevel"/>
    <w:tmpl w:val="2050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E3BD0"/>
    <w:multiLevelType w:val="hybridMultilevel"/>
    <w:tmpl w:val="C3D6A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A112D"/>
    <w:multiLevelType w:val="hybridMultilevel"/>
    <w:tmpl w:val="43F4608C"/>
    <w:lvl w:ilvl="0" w:tplc="736C7356">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AA68FB"/>
    <w:multiLevelType w:val="hybridMultilevel"/>
    <w:tmpl w:val="E5104E36"/>
    <w:lvl w:ilvl="0" w:tplc="0C090001">
      <w:start w:val="1"/>
      <w:numFmt w:val="bullet"/>
      <w:lvlText w:val=""/>
      <w:lvlJc w:val="left"/>
      <w:pPr>
        <w:ind w:left="720" w:hanging="360"/>
      </w:pPr>
      <w:rPr>
        <w:rFonts w:ascii="Symbol" w:hAnsi="Symbol" w:hint="default"/>
      </w:rPr>
    </w:lvl>
    <w:lvl w:ilvl="1" w:tplc="7A569E46">
      <w:start w:val="1"/>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A51AE"/>
    <w:multiLevelType w:val="hybridMultilevel"/>
    <w:tmpl w:val="CCEE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D606C1"/>
    <w:multiLevelType w:val="hybridMultilevel"/>
    <w:tmpl w:val="87D2E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D36FD"/>
    <w:multiLevelType w:val="hybridMultilevel"/>
    <w:tmpl w:val="808C1CEC"/>
    <w:lvl w:ilvl="0" w:tplc="7A569E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53FDA"/>
    <w:multiLevelType w:val="hybridMultilevel"/>
    <w:tmpl w:val="B47CA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A370E"/>
    <w:multiLevelType w:val="hybridMultilevel"/>
    <w:tmpl w:val="5EB0E946"/>
    <w:lvl w:ilvl="0" w:tplc="A19C54F2">
      <w:start w:val="1"/>
      <w:numFmt w:val="decimal"/>
      <w:lvlText w:val="%1."/>
      <w:lvlJc w:val="left"/>
      <w:pPr>
        <w:ind w:left="1080" w:hanging="720"/>
      </w:pPr>
      <w:rPr>
        <w:rFonts w:hint="default"/>
      </w:rPr>
    </w:lvl>
    <w:lvl w:ilvl="1" w:tplc="7A569E46">
      <w:start w:val="1"/>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E4CBA"/>
    <w:multiLevelType w:val="hybridMultilevel"/>
    <w:tmpl w:val="76645E00"/>
    <w:lvl w:ilvl="0" w:tplc="A19C54F2">
      <w:start w:val="1"/>
      <w:numFmt w:val="decimal"/>
      <w:lvlText w:val="%1."/>
      <w:lvlJc w:val="left"/>
      <w:pPr>
        <w:ind w:left="1080" w:hanging="720"/>
      </w:pPr>
      <w:rPr>
        <w:rFonts w:hint="default"/>
      </w:rPr>
    </w:lvl>
    <w:lvl w:ilvl="1" w:tplc="0C090019">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57392"/>
    <w:multiLevelType w:val="hybridMultilevel"/>
    <w:tmpl w:val="181E9F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AC0667"/>
    <w:multiLevelType w:val="hybridMultilevel"/>
    <w:tmpl w:val="BE32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B12FB"/>
    <w:multiLevelType w:val="hybridMultilevel"/>
    <w:tmpl w:val="3EBE869A"/>
    <w:lvl w:ilvl="0" w:tplc="0C090001">
      <w:start w:val="1"/>
      <w:numFmt w:val="bullet"/>
      <w:lvlText w:val=""/>
      <w:lvlJc w:val="left"/>
      <w:pPr>
        <w:ind w:left="720" w:hanging="360"/>
      </w:pPr>
      <w:rPr>
        <w:rFonts w:ascii="Symbol" w:hAnsi="Symbol" w:hint="default"/>
      </w:rPr>
    </w:lvl>
    <w:lvl w:ilvl="1" w:tplc="7A569E46">
      <w:start w:val="1"/>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1C3997"/>
    <w:multiLevelType w:val="hybridMultilevel"/>
    <w:tmpl w:val="16D8B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56DC6"/>
    <w:multiLevelType w:val="hybridMultilevel"/>
    <w:tmpl w:val="1CEA8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24"/>
  </w:num>
  <w:num w:numId="5">
    <w:abstractNumId w:val="17"/>
  </w:num>
  <w:num w:numId="6">
    <w:abstractNumId w:val="7"/>
  </w:num>
  <w:num w:numId="7">
    <w:abstractNumId w:val="13"/>
  </w:num>
  <w:num w:numId="8">
    <w:abstractNumId w:val="11"/>
  </w:num>
  <w:num w:numId="9">
    <w:abstractNumId w:val="21"/>
  </w:num>
  <w:num w:numId="10">
    <w:abstractNumId w:val="2"/>
  </w:num>
  <w:num w:numId="11">
    <w:abstractNumId w:val="18"/>
  </w:num>
  <w:num w:numId="12">
    <w:abstractNumId w:val="10"/>
  </w:num>
  <w:num w:numId="13">
    <w:abstractNumId w:val="20"/>
  </w:num>
  <w:num w:numId="14">
    <w:abstractNumId w:val="6"/>
  </w:num>
  <w:num w:numId="15">
    <w:abstractNumId w:val="3"/>
  </w:num>
  <w:num w:numId="16">
    <w:abstractNumId w:val="16"/>
  </w:num>
  <w:num w:numId="17">
    <w:abstractNumId w:val="9"/>
  </w:num>
  <w:num w:numId="18">
    <w:abstractNumId w:val="19"/>
  </w:num>
  <w:num w:numId="19">
    <w:abstractNumId w:val="8"/>
  </w:num>
  <w:num w:numId="20">
    <w:abstractNumId w:val="1"/>
  </w:num>
  <w:num w:numId="21">
    <w:abstractNumId w:val="23"/>
  </w:num>
  <w:num w:numId="22">
    <w:abstractNumId w:val="4"/>
  </w:num>
  <w:num w:numId="23">
    <w:abstractNumId w:val="5"/>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B6"/>
    <w:rsid w:val="000206D7"/>
    <w:rsid w:val="00024C28"/>
    <w:rsid w:val="00031203"/>
    <w:rsid w:val="00042B19"/>
    <w:rsid w:val="00052151"/>
    <w:rsid w:val="00066192"/>
    <w:rsid w:val="00081570"/>
    <w:rsid w:val="00081A01"/>
    <w:rsid w:val="000C3991"/>
    <w:rsid w:val="001017C4"/>
    <w:rsid w:val="00107DF5"/>
    <w:rsid w:val="0018592F"/>
    <w:rsid w:val="00194F30"/>
    <w:rsid w:val="001A7021"/>
    <w:rsid w:val="001B12CA"/>
    <w:rsid w:val="001C32B5"/>
    <w:rsid w:val="001C3548"/>
    <w:rsid w:val="001D3FD4"/>
    <w:rsid w:val="002023C9"/>
    <w:rsid w:val="00221BC9"/>
    <w:rsid w:val="00227FF5"/>
    <w:rsid w:val="002342B2"/>
    <w:rsid w:val="002551A8"/>
    <w:rsid w:val="00255C42"/>
    <w:rsid w:val="00262563"/>
    <w:rsid w:val="0026522F"/>
    <w:rsid w:val="002665E8"/>
    <w:rsid w:val="002715D7"/>
    <w:rsid w:val="0028035F"/>
    <w:rsid w:val="0029081A"/>
    <w:rsid w:val="00291113"/>
    <w:rsid w:val="00294E9F"/>
    <w:rsid w:val="00294EFB"/>
    <w:rsid w:val="002A0CA3"/>
    <w:rsid w:val="002B6A40"/>
    <w:rsid w:val="002C5ED5"/>
    <w:rsid w:val="002D1D7D"/>
    <w:rsid w:val="00323D73"/>
    <w:rsid w:val="00351307"/>
    <w:rsid w:val="00360A65"/>
    <w:rsid w:val="003751A4"/>
    <w:rsid w:val="003866FF"/>
    <w:rsid w:val="00390F0C"/>
    <w:rsid w:val="003B04FD"/>
    <w:rsid w:val="003E05E0"/>
    <w:rsid w:val="00406D19"/>
    <w:rsid w:val="00407A16"/>
    <w:rsid w:val="00416951"/>
    <w:rsid w:val="00423031"/>
    <w:rsid w:val="00446725"/>
    <w:rsid w:val="004471F1"/>
    <w:rsid w:val="004C26B6"/>
    <w:rsid w:val="004D5C9C"/>
    <w:rsid w:val="004E14E5"/>
    <w:rsid w:val="004E2328"/>
    <w:rsid w:val="004F180C"/>
    <w:rsid w:val="004F67CE"/>
    <w:rsid w:val="0050059B"/>
    <w:rsid w:val="00505DA5"/>
    <w:rsid w:val="00521C6B"/>
    <w:rsid w:val="00565A96"/>
    <w:rsid w:val="00586E88"/>
    <w:rsid w:val="005A2018"/>
    <w:rsid w:val="005A381A"/>
    <w:rsid w:val="005A5F99"/>
    <w:rsid w:val="005B48D5"/>
    <w:rsid w:val="005D12A2"/>
    <w:rsid w:val="005E086C"/>
    <w:rsid w:val="005F3EB9"/>
    <w:rsid w:val="005F4305"/>
    <w:rsid w:val="00601855"/>
    <w:rsid w:val="006136DA"/>
    <w:rsid w:val="00660667"/>
    <w:rsid w:val="006623F6"/>
    <w:rsid w:val="00662791"/>
    <w:rsid w:val="00691FDE"/>
    <w:rsid w:val="006A73C8"/>
    <w:rsid w:val="006C08FC"/>
    <w:rsid w:val="00702EE6"/>
    <w:rsid w:val="00726A0F"/>
    <w:rsid w:val="00726FFC"/>
    <w:rsid w:val="007A19CF"/>
    <w:rsid w:val="007A3F94"/>
    <w:rsid w:val="007A7DE7"/>
    <w:rsid w:val="008230B0"/>
    <w:rsid w:val="0088267E"/>
    <w:rsid w:val="008964E4"/>
    <w:rsid w:val="008A1034"/>
    <w:rsid w:val="008D37FA"/>
    <w:rsid w:val="009223AD"/>
    <w:rsid w:val="009276F6"/>
    <w:rsid w:val="00933572"/>
    <w:rsid w:val="0094021B"/>
    <w:rsid w:val="00946F71"/>
    <w:rsid w:val="00961BE0"/>
    <w:rsid w:val="00963B97"/>
    <w:rsid w:val="00974D8F"/>
    <w:rsid w:val="00995B92"/>
    <w:rsid w:val="00996DCC"/>
    <w:rsid w:val="00997720"/>
    <w:rsid w:val="009A56DF"/>
    <w:rsid w:val="009C07E1"/>
    <w:rsid w:val="009C6D9C"/>
    <w:rsid w:val="009F0309"/>
    <w:rsid w:val="00A07383"/>
    <w:rsid w:val="00A179A7"/>
    <w:rsid w:val="00A5782E"/>
    <w:rsid w:val="00A95CF6"/>
    <w:rsid w:val="00AB6EA5"/>
    <w:rsid w:val="00AC49A4"/>
    <w:rsid w:val="00AC6FA1"/>
    <w:rsid w:val="00AE5A97"/>
    <w:rsid w:val="00B063EC"/>
    <w:rsid w:val="00B128D6"/>
    <w:rsid w:val="00B13A8A"/>
    <w:rsid w:val="00B1549A"/>
    <w:rsid w:val="00B34633"/>
    <w:rsid w:val="00B35807"/>
    <w:rsid w:val="00B40B83"/>
    <w:rsid w:val="00B7358A"/>
    <w:rsid w:val="00BC30C0"/>
    <w:rsid w:val="00BF19AB"/>
    <w:rsid w:val="00C06CFF"/>
    <w:rsid w:val="00C22DD1"/>
    <w:rsid w:val="00C61579"/>
    <w:rsid w:val="00D10888"/>
    <w:rsid w:val="00D132F5"/>
    <w:rsid w:val="00D24B0C"/>
    <w:rsid w:val="00D42CFD"/>
    <w:rsid w:val="00D47D75"/>
    <w:rsid w:val="00D513F3"/>
    <w:rsid w:val="00D557EE"/>
    <w:rsid w:val="00D65581"/>
    <w:rsid w:val="00D7780F"/>
    <w:rsid w:val="00D8288D"/>
    <w:rsid w:val="00DA0112"/>
    <w:rsid w:val="00DF0777"/>
    <w:rsid w:val="00DF60EB"/>
    <w:rsid w:val="00E0032E"/>
    <w:rsid w:val="00E27B8E"/>
    <w:rsid w:val="00E37776"/>
    <w:rsid w:val="00E418CE"/>
    <w:rsid w:val="00E55C86"/>
    <w:rsid w:val="00E5673A"/>
    <w:rsid w:val="00E67AAE"/>
    <w:rsid w:val="00E913D5"/>
    <w:rsid w:val="00EA10DB"/>
    <w:rsid w:val="00EC62F9"/>
    <w:rsid w:val="00ED7E1C"/>
    <w:rsid w:val="00EE51C6"/>
    <w:rsid w:val="00F3021A"/>
    <w:rsid w:val="00F32B59"/>
    <w:rsid w:val="00FC00D8"/>
    <w:rsid w:val="00FD2345"/>
    <w:rsid w:val="00FF1A4D"/>
    <w:rsid w:val="00FF3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6CE3D"/>
  <w15:chartTrackingRefBased/>
  <w15:docId w15:val="{31166EA6-866D-4AD9-AB23-A6928B02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B6"/>
    <w:pPr>
      <w:ind w:left="720"/>
      <w:contextualSpacing/>
    </w:pPr>
  </w:style>
  <w:style w:type="paragraph" w:styleId="BalloonText">
    <w:name w:val="Balloon Text"/>
    <w:basedOn w:val="Normal"/>
    <w:link w:val="BalloonTextChar"/>
    <w:uiPriority w:val="99"/>
    <w:semiHidden/>
    <w:unhideWhenUsed/>
    <w:rsid w:val="00AB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A5"/>
    <w:rPr>
      <w:rFonts w:ascii="Segoe UI" w:hAnsi="Segoe UI" w:cs="Segoe UI"/>
      <w:sz w:val="18"/>
      <w:szCs w:val="18"/>
    </w:rPr>
  </w:style>
  <w:style w:type="paragraph" w:customStyle="1" w:styleId="CCSNormalText">
    <w:name w:val="CCS Normal Text"/>
    <w:basedOn w:val="Normal"/>
    <w:link w:val="CCSNormalTextChar"/>
    <w:qFormat/>
    <w:rsid w:val="002023C9"/>
    <w:pPr>
      <w:spacing w:before="60" w:after="120" w:line="240" w:lineRule="auto"/>
    </w:pPr>
    <w:rPr>
      <w:rFonts w:ascii="Arial" w:hAnsi="Arial" w:cs="Arial"/>
      <w:lang w:eastAsia="zh-CN" w:bidi="th-TH"/>
    </w:rPr>
  </w:style>
  <w:style w:type="character" w:customStyle="1" w:styleId="CCSNormalTextChar">
    <w:name w:val="CCS Normal Text Char"/>
    <w:basedOn w:val="DefaultParagraphFont"/>
    <w:link w:val="CCSNormalText"/>
    <w:rsid w:val="002023C9"/>
    <w:rPr>
      <w:rFonts w:ascii="Arial" w:hAnsi="Arial" w:cs="Arial"/>
      <w:lang w:eastAsia="zh-CN" w:bidi="th-TH"/>
    </w:rPr>
  </w:style>
  <w:style w:type="character" w:styleId="CommentReference">
    <w:name w:val="annotation reference"/>
    <w:basedOn w:val="DefaultParagraphFont"/>
    <w:uiPriority w:val="99"/>
    <w:semiHidden/>
    <w:unhideWhenUsed/>
    <w:rsid w:val="00BC30C0"/>
    <w:rPr>
      <w:sz w:val="16"/>
      <w:szCs w:val="16"/>
    </w:rPr>
  </w:style>
  <w:style w:type="paragraph" w:styleId="CommentText">
    <w:name w:val="annotation text"/>
    <w:basedOn w:val="Normal"/>
    <w:link w:val="CommentTextChar"/>
    <w:uiPriority w:val="99"/>
    <w:unhideWhenUsed/>
    <w:rsid w:val="00BC30C0"/>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C30C0"/>
    <w:rPr>
      <w:rFonts w:eastAsiaTheme="minorEastAsia"/>
      <w:sz w:val="20"/>
      <w:szCs w:val="20"/>
      <w:lang w:val="en-US"/>
    </w:rPr>
  </w:style>
  <w:style w:type="paragraph" w:styleId="FootnoteText">
    <w:name w:val="footnote text"/>
    <w:basedOn w:val="Normal"/>
    <w:link w:val="FootnoteTextChar"/>
    <w:uiPriority w:val="99"/>
    <w:semiHidden/>
    <w:unhideWhenUsed/>
    <w:rsid w:val="00BC30C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C30C0"/>
    <w:rPr>
      <w:rFonts w:eastAsiaTheme="minorEastAsia"/>
      <w:sz w:val="20"/>
      <w:szCs w:val="20"/>
      <w:lang w:val="en-US"/>
    </w:rPr>
  </w:style>
  <w:style w:type="character" w:styleId="FootnoteReference">
    <w:name w:val="footnote reference"/>
    <w:basedOn w:val="DefaultParagraphFont"/>
    <w:uiPriority w:val="99"/>
    <w:semiHidden/>
    <w:unhideWhenUsed/>
    <w:rsid w:val="00BC30C0"/>
    <w:rPr>
      <w:vertAlign w:val="superscript"/>
    </w:rPr>
  </w:style>
  <w:style w:type="paragraph" w:styleId="Header">
    <w:name w:val="header"/>
    <w:basedOn w:val="Normal"/>
    <w:link w:val="HeaderChar"/>
    <w:uiPriority w:val="99"/>
    <w:unhideWhenUsed/>
    <w:rsid w:val="00F3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B59"/>
  </w:style>
  <w:style w:type="paragraph" w:styleId="Footer">
    <w:name w:val="footer"/>
    <w:basedOn w:val="Normal"/>
    <w:link w:val="FooterChar"/>
    <w:uiPriority w:val="99"/>
    <w:unhideWhenUsed/>
    <w:rsid w:val="00F3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B59"/>
  </w:style>
  <w:style w:type="paragraph" w:styleId="CommentSubject">
    <w:name w:val="annotation subject"/>
    <w:basedOn w:val="CommentText"/>
    <w:next w:val="CommentText"/>
    <w:link w:val="CommentSubjectChar"/>
    <w:uiPriority w:val="99"/>
    <w:semiHidden/>
    <w:unhideWhenUsed/>
    <w:rsid w:val="00586E88"/>
    <w:pPr>
      <w:spacing w:after="200"/>
    </w:pPr>
    <w:rPr>
      <w:rFonts w:eastAsiaTheme="minorHAnsi"/>
      <w:b/>
      <w:bCs/>
      <w:lang w:val="en-AU"/>
    </w:rPr>
  </w:style>
  <w:style w:type="character" w:customStyle="1" w:styleId="CommentSubjectChar">
    <w:name w:val="Comment Subject Char"/>
    <w:basedOn w:val="CommentTextChar"/>
    <w:link w:val="CommentSubject"/>
    <w:uiPriority w:val="99"/>
    <w:semiHidden/>
    <w:rsid w:val="00586E88"/>
    <w:rPr>
      <w:rFonts w:eastAsiaTheme="minorEastAsia"/>
      <w:b/>
      <w:bCs/>
      <w:sz w:val="20"/>
      <w:szCs w:val="20"/>
      <w:lang w:val="en-US"/>
    </w:rPr>
  </w:style>
  <w:style w:type="paragraph" w:styleId="Revision">
    <w:name w:val="Revision"/>
    <w:hidden/>
    <w:uiPriority w:val="99"/>
    <w:semiHidden/>
    <w:rsid w:val="005F3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DOC19-444963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EE1B8B92-EB19-4A5C-8660-425C3A1CBEC8}">
  <ds:schemaRefs>
    <ds:schemaRef ds:uri="http://schemas.openxmlformats.org/officeDocument/2006/bibliography"/>
  </ds:schemaRefs>
</ds:datastoreItem>
</file>

<file path=customXml/itemProps2.xml><?xml version="1.0" encoding="utf-8"?>
<ds:datastoreItem xmlns:ds="http://schemas.openxmlformats.org/officeDocument/2006/customXml" ds:itemID="{E092D031-115C-4044-AEE6-E3640F3ECC70}"/>
</file>

<file path=customXml/itemProps3.xml><?xml version="1.0" encoding="utf-8"?>
<ds:datastoreItem xmlns:ds="http://schemas.openxmlformats.org/officeDocument/2006/customXml" ds:itemID="{0CD52BC8-EAAC-44F8-AE69-06BF01848C00}"/>
</file>

<file path=customXml/itemProps4.xml><?xml version="1.0" encoding="utf-8"?>
<ds:datastoreItem xmlns:ds="http://schemas.openxmlformats.org/officeDocument/2006/customXml" ds:itemID="{B97E601F-3271-4E01-8A59-B7A6CC255B57}"/>
</file>

<file path=docProps/app.xml><?xml version="1.0" encoding="utf-8"?>
<Properties xmlns="http://schemas.openxmlformats.org/officeDocument/2006/extended-properties" xmlns:vt="http://schemas.openxmlformats.org/officeDocument/2006/docPropsVTypes">
  <Template>A39AB54D.dotm</Template>
  <TotalTime>3</TotalTime>
  <Pages>5</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WATSON,Miara</dc:creator>
  <cp:keywords/>
  <dc:description/>
  <cp:lastModifiedBy>WATSON,Miara</cp:lastModifiedBy>
  <cp:revision>2</cp:revision>
  <cp:lastPrinted>2018-07-31T04:57:00Z</cp:lastPrinted>
  <dcterms:created xsi:type="dcterms:W3CDTF">2018-07-31T06:49:00Z</dcterms:created>
  <dcterms:modified xsi:type="dcterms:W3CDTF">2018-07-31T06:49:00Z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bb659cb0-2988-4430-83e5-0f00beee8483</vt:lpwstr>
  </property>
  <property fmtid="{D5CDD505-2E9C-101B-9397-08002B2CF9AE}" pid="3" name="SEC">
    <vt:lpwstr>UNCLASSIFIED</vt:lpwstr>
  </property>
  <property fmtid="{D5CDD505-2E9C-101B-9397-08002B2CF9AE}" pid="4" name="DLM">
    <vt:lpwstr>No DLM</vt:lpwstr>
  </property>
  <property fmtid="{D5CDD505-2E9C-101B-9397-08002B2CF9AE}" pid="5" name="ESearchTags">
    <vt:lpwstr/>
  </property>
  <property fmtid="{D5CDD505-2E9C-101B-9397-08002B2CF9AE}" pid="6" name="PMC.ESearch.TagGeneratedTime">
    <vt:lpwstr>2019-12-09T15:38:04</vt:lpwstr>
  </property>
  <property fmtid="{D5CDD505-2E9C-101B-9397-08002B2CF9AE}" pid="7" name="HPRMSecurityLevel">
    <vt:lpwstr>57;#OFFICIAL|11463c70-78df-4e3b-b0ff-f66cd3cb26ec</vt:lpwstr>
  </property>
  <property fmtid="{D5CDD505-2E9C-101B-9397-08002B2CF9AE}" pid="8" name="ContentTypeId">
    <vt:lpwstr>0x0101002825A64A6E1845A99A9D8EE8A5686ECB009B58D7D72C3ED54C851955501673F8AC</vt:lpwstr>
  </property>
  <property fmtid="{D5CDD505-2E9C-101B-9397-08002B2CF9AE}" pid="9" name="HPRMSecurityCaveat">
    <vt:lpwstr/>
  </property>
</Properties>
</file>