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4407" w14:textId="3F8ADD1A" w:rsidR="0091126F" w:rsidRPr="00292218" w:rsidRDefault="00911D76" w:rsidP="00292218">
      <w:pPr>
        <w:jc w:val="center"/>
      </w:pPr>
      <w:r w:rsidRPr="00292218">
        <w:t xml:space="preserve">Submission to </w:t>
      </w:r>
      <w:r w:rsidR="00965CB1">
        <w:t xml:space="preserve">the </w:t>
      </w:r>
      <w:r w:rsidR="00292218" w:rsidRPr="00292218">
        <w:t xml:space="preserve">APS </w:t>
      </w:r>
      <w:r w:rsidRPr="00292218">
        <w:t>Review</w:t>
      </w:r>
    </w:p>
    <w:p w14:paraId="726DC32B" w14:textId="2E229B0D" w:rsidR="00911D76" w:rsidRDefault="00911D76"/>
    <w:p w14:paraId="406D2933" w14:textId="601A8F09" w:rsidR="00B067ED" w:rsidRDefault="005230A9" w:rsidP="00294166">
      <w:pPr>
        <w:jc w:val="center"/>
      </w:pPr>
      <w:r>
        <w:t>John Halligan</w:t>
      </w:r>
    </w:p>
    <w:p w14:paraId="75EE25A8" w14:textId="77777777" w:rsidR="00294166" w:rsidRDefault="00294166" w:rsidP="00294166">
      <w:pPr>
        <w:jc w:val="center"/>
      </w:pPr>
    </w:p>
    <w:p w14:paraId="564BBA3E" w14:textId="0683F89A" w:rsidR="005230A9" w:rsidRDefault="005230A9" w:rsidP="005230A9">
      <w:pPr>
        <w:jc w:val="center"/>
      </w:pPr>
      <w:r>
        <w:t>Emeritus Professor of Public Administration and Governance</w:t>
      </w:r>
    </w:p>
    <w:p w14:paraId="0FE4D5E9" w14:textId="77777777" w:rsidR="00E5241C" w:rsidRDefault="00E5241C" w:rsidP="005230A9">
      <w:pPr>
        <w:jc w:val="center"/>
      </w:pPr>
    </w:p>
    <w:p w14:paraId="2A142D2B" w14:textId="77777777" w:rsidR="005230A9" w:rsidRDefault="005230A9" w:rsidP="005230A9">
      <w:pPr>
        <w:jc w:val="center"/>
      </w:pPr>
      <w:r>
        <w:t>Institute for Governance and Public Policy</w:t>
      </w:r>
    </w:p>
    <w:p w14:paraId="63158C7B" w14:textId="77777777" w:rsidR="005230A9" w:rsidRDefault="005230A9" w:rsidP="005230A9">
      <w:pPr>
        <w:jc w:val="center"/>
      </w:pPr>
      <w:r>
        <w:t>University of Canberra</w:t>
      </w:r>
    </w:p>
    <w:p w14:paraId="23F36106" w14:textId="47D6AABA" w:rsidR="005230A9" w:rsidRDefault="005230A9" w:rsidP="005230A9"/>
    <w:p w14:paraId="11608048" w14:textId="77777777" w:rsidR="00362D7D" w:rsidRDefault="00362D7D" w:rsidP="005230A9"/>
    <w:p w14:paraId="1CB7C2E2" w14:textId="36C227AA" w:rsidR="0010430E" w:rsidRPr="000C7E7C" w:rsidRDefault="00B55E79" w:rsidP="000C7E7C">
      <w:pPr>
        <w:pStyle w:val="Normal18J"/>
      </w:pPr>
      <w:r w:rsidRPr="000C7E7C">
        <w:t>Overview</w:t>
      </w:r>
    </w:p>
    <w:p w14:paraId="60460777" w14:textId="5C074F52" w:rsidR="007B601D" w:rsidRPr="000C7E7C" w:rsidRDefault="005D5664" w:rsidP="00B55C5C">
      <w:pPr>
        <w:pStyle w:val="Normal18Jin0"/>
        <w:spacing w:line="240" w:lineRule="auto"/>
        <w:ind w:firstLine="0"/>
      </w:pPr>
      <w:r w:rsidRPr="000C7E7C">
        <w:t xml:space="preserve">This submission reflects </w:t>
      </w:r>
      <w:r w:rsidR="0010430E" w:rsidRPr="000C7E7C">
        <w:t>recent research</w:t>
      </w:r>
      <w:r w:rsidRPr="000C7E7C">
        <w:t xml:space="preserve"> on Anglophone systems in the 2010s</w:t>
      </w:r>
      <w:r w:rsidR="00705C33">
        <w:t>, and</w:t>
      </w:r>
      <w:r w:rsidR="0010430E" w:rsidRPr="000C7E7C">
        <w:t xml:space="preserve"> on</w:t>
      </w:r>
      <w:r w:rsidR="00FE0768" w:rsidRPr="000C7E7C">
        <w:t>ly</w:t>
      </w:r>
      <w:r w:rsidR="0010430E" w:rsidRPr="000C7E7C">
        <w:t xml:space="preserve"> </w:t>
      </w:r>
      <w:r w:rsidR="00234C42" w:rsidRPr="000C7E7C">
        <w:t>covers a few</w:t>
      </w:r>
      <w:r w:rsidR="0010430E" w:rsidRPr="000C7E7C">
        <w:t xml:space="preserve"> of the </w:t>
      </w:r>
      <w:r w:rsidR="00DF7D05" w:rsidRPr="000C7E7C">
        <w:t xml:space="preserve">potentially wide-ranging questions </w:t>
      </w:r>
      <w:r w:rsidR="0010430E" w:rsidRPr="000C7E7C">
        <w:t>confronting the Review.</w:t>
      </w:r>
      <w:r w:rsidR="00955B58" w:rsidRPr="000C7E7C">
        <w:t xml:space="preserve"> </w:t>
      </w:r>
      <w:r w:rsidR="00F42DFF" w:rsidRPr="000C7E7C">
        <w:t xml:space="preserve">The deadline for the Review </w:t>
      </w:r>
      <w:r w:rsidR="004047A0" w:rsidRPr="000C7E7C">
        <w:t xml:space="preserve">has meant that several important questions have </w:t>
      </w:r>
      <w:r w:rsidR="00D71612">
        <w:t xml:space="preserve">had to be </w:t>
      </w:r>
      <w:r w:rsidR="004047A0" w:rsidRPr="000C7E7C">
        <w:t>omitted</w:t>
      </w:r>
      <w:r w:rsidR="002E5BE8" w:rsidRPr="000C7E7C">
        <w:t>, including options for addressing problems identified</w:t>
      </w:r>
      <w:r w:rsidR="004047A0" w:rsidRPr="000C7E7C">
        <w:t>.</w:t>
      </w:r>
    </w:p>
    <w:p w14:paraId="0DEDC659" w14:textId="2B3F729B" w:rsidR="005230A9" w:rsidRPr="000C7E7C" w:rsidRDefault="005230A9" w:rsidP="00B55C5C">
      <w:pPr>
        <w:pStyle w:val="Normal18Jin0"/>
        <w:spacing w:line="240" w:lineRule="auto"/>
      </w:pPr>
      <w:r w:rsidRPr="000C7E7C">
        <w:t>Several of the co</w:t>
      </w:r>
      <w:r w:rsidR="00955B58" w:rsidRPr="000C7E7C">
        <w:t>mments and generalisations</w:t>
      </w:r>
      <w:r w:rsidR="00376BFB">
        <w:t xml:space="preserve"> derive from analysis in a</w:t>
      </w:r>
      <w:r w:rsidRPr="000C7E7C">
        <w:t xml:space="preserve"> forthcoming book</w:t>
      </w:r>
      <w:r w:rsidR="00376BFB">
        <w:t xml:space="preserve">: </w:t>
      </w:r>
      <w:r w:rsidRPr="000C7E7C">
        <w:t>Halligan</w:t>
      </w:r>
      <w:r w:rsidR="00376BFB">
        <w:t xml:space="preserve"> (2018)</w:t>
      </w:r>
      <w:r w:rsidR="00375676" w:rsidRPr="000C7E7C">
        <w:t xml:space="preserve">; and </w:t>
      </w:r>
      <w:r w:rsidR="00FE2BED" w:rsidRPr="000C7E7C">
        <w:t>are</w:t>
      </w:r>
      <w:r w:rsidR="00D00996" w:rsidRPr="000C7E7C">
        <w:t xml:space="preserve"> also informed by</w:t>
      </w:r>
      <w:r w:rsidR="00DC4311" w:rsidRPr="000C7E7C">
        <w:rPr>
          <w:sz w:val="23"/>
          <w:szCs w:val="23"/>
        </w:rPr>
        <w:t xml:space="preserve"> </w:t>
      </w:r>
      <w:r w:rsidR="0053170C" w:rsidRPr="000C7E7C">
        <w:rPr>
          <w:sz w:val="23"/>
          <w:szCs w:val="23"/>
        </w:rPr>
        <w:t>thirty years of publishing on public sector reform in Australia and the Anglophone countries.</w:t>
      </w:r>
    </w:p>
    <w:p w14:paraId="1589F207" w14:textId="5838433C" w:rsidR="00D4128B" w:rsidRDefault="00D4128B" w:rsidP="00B55C5C">
      <w:pPr>
        <w:pStyle w:val="Normal18Jin0"/>
        <w:spacing w:line="240" w:lineRule="auto"/>
      </w:pPr>
      <w:r>
        <w:t>Much of what is in this submission has been referred to in offic</w:t>
      </w:r>
      <w:r w:rsidR="00C16031">
        <w:t>ial reports</w:t>
      </w:r>
      <w:r>
        <w:t xml:space="preserve"> on the Australian public service. There are </w:t>
      </w:r>
      <w:r w:rsidR="00C16031">
        <w:t xml:space="preserve">also </w:t>
      </w:r>
      <w:r>
        <w:t>many questions that need systematic documentation and analysis, and it is to be hoped that the Review will undertake such work to buttress the historical significance of this exercise.</w:t>
      </w:r>
    </w:p>
    <w:p w14:paraId="3FC31175" w14:textId="2334C767" w:rsidR="00C751BF" w:rsidRDefault="00911D76" w:rsidP="00B55C5C">
      <w:pPr>
        <w:pStyle w:val="Normal18Jin0"/>
        <w:spacing w:line="240" w:lineRule="auto"/>
      </w:pPr>
      <w:r>
        <w:t>The</w:t>
      </w:r>
      <w:r w:rsidR="001B3261">
        <w:t>re is a case for arguing that the</w:t>
      </w:r>
      <w:r w:rsidR="00C16031">
        <w:t xml:space="preserve"> Australian system ha</w:t>
      </w:r>
      <w:r>
        <w:t>s</w:t>
      </w:r>
      <w:r w:rsidR="00C16031">
        <w:t xml:space="preserve"> been</w:t>
      </w:r>
      <w:r>
        <w:t xml:space="preserve"> more</w:t>
      </w:r>
      <w:r w:rsidR="001B3261">
        <w:t xml:space="preserve"> </w:t>
      </w:r>
      <w:r w:rsidR="00394348">
        <w:t>‘</w:t>
      </w:r>
      <w:r w:rsidR="001B3261">
        <w:t>p</w:t>
      </w:r>
      <w:r>
        <w:t>oliticised</w:t>
      </w:r>
      <w:r w:rsidR="00394348">
        <w:t>’</w:t>
      </w:r>
      <w:r>
        <w:t xml:space="preserve"> </w:t>
      </w:r>
      <w:r w:rsidR="001B3261">
        <w:t>and b</w:t>
      </w:r>
      <w:r w:rsidR="00EC3C8C">
        <w:t>u</w:t>
      </w:r>
      <w:r w:rsidR="001B3261">
        <w:t xml:space="preserve">reaucratised </w:t>
      </w:r>
      <w:r>
        <w:t xml:space="preserve">than comparable </w:t>
      </w:r>
      <w:r w:rsidR="00F730D8">
        <w:t xml:space="preserve">Anglophone </w:t>
      </w:r>
      <w:r>
        <w:t>countries</w:t>
      </w:r>
      <w:r w:rsidR="00A75C7D">
        <w:t>.</w:t>
      </w:r>
      <w:r w:rsidR="00563A13">
        <w:t xml:space="preserve"> </w:t>
      </w:r>
      <w:r w:rsidR="00C751BF">
        <w:t xml:space="preserve">There </w:t>
      </w:r>
      <w:r w:rsidR="00A23252">
        <w:t>have</w:t>
      </w:r>
      <w:r w:rsidR="00C751BF">
        <w:t xml:space="preserve"> </w:t>
      </w:r>
      <w:r w:rsidR="00563A13">
        <w:t xml:space="preserve">also </w:t>
      </w:r>
      <w:r w:rsidR="006F4788">
        <w:t xml:space="preserve">been significant </w:t>
      </w:r>
      <w:r w:rsidR="00C751BF">
        <w:t xml:space="preserve">capability </w:t>
      </w:r>
      <w:r w:rsidR="00A23252">
        <w:t>problems,</w:t>
      </w:r>
      <w:r w:rsidR="00C751BF">
        <w:t xml:space="preserve"> and this has applied to both the public </w:t>
      </w:r>
      <w:r w:rsidR="00350681">
        <w:t xml:space="preserve">service (and often to ministerial offices), which has </w:t>
      </w:r>
      <w:r w:rsidR="006F4788">
        <w:t xml:space="preserve">had </w:t>
      </w:r>
      <w:r w:rsidR="00350681">
        <w:t>an impact on the quality of public policy and governance.</w:t>
      </w:r>
      <w:r w:rsidR="00563A13">
        <w:t xml:space="preserve"> </w:t>
      </w:r>
    </w:p>
    <w:p w14:paraId="130FB039" w14:textId="2665F669" w:rsidR="00A15FF5" w:rsidRPr="000C7E7C" w:rsidRDefault="00986253" w:rsidP="00B55C5C">
      <w:pPr>
        <w:pStyle w:val="Normal18Jin0"/>
        <w:spacing w:line="240" w:lineRule="auto"/>
      </w:pPr>
      <w:r w:rsidRPr="000C7E7C">
        <w:t>The system of public mana</w:t>
      </w:r>
      <w:r w:rsidR="00CC14D5">
        <w:t>gement and governance has been</w:t>
      </w:r>
      <w:r w:rsidRPr="000C7E7C">
        <w:t xml:space="preserve"> </w:t>
      </w:r>
      <w:r w:rsidR="00DA2E6E" w:rsidRPr="000C7E7C">
        <w:t>u</w:t>
      </w:r>
      <w:r w:rsidR="00CF24B3" w:rsidRPr="000C7E7C">
        <w:t>n</w:t>
      </w:r>
      <w:r w:rsidR="00624FB7">
        <w:t>balanced in terms of internal and external roles and the relationship between ministers and secretaries</w:t>
      </w:r>
      <w:r w:rsidRPr="000C7E7C">
        <w:t>.</w:t>
      </w:r>
      <w:r w:rsidR="009A154C" w:rsidRPr="000C7E7C">
        <w:t xml:space="preserve"> </w:t>
      </w:r>
      <w:r w:rsidR="00911D76" w:rsidRPr="000C7E7C">
        <w:t xml:space="preserve">Unless Australia seeks to address the weaknesses in the system it </w:t>
      </w:r>
      <w:r w:rsidR="000D3A07" w:rsidRPr="000C7E7C">
        <w:t>will</w:t>
      </w:r>
      <w:r w:rsidR="00911D76" w:rsidRPr="000C7E7C">
        <w:t xml:space="preserve"> drift without being able to confront properly the questions that politic</w:t>
      </w:r>
      <w:r w:rsidR="00CF24B3" w:rsidRPr="000C7E7C">
        <w:t>al executives want addressed</w:t>
      </w:r>
      <w:r w:rsidR="00A15FF5" w:rsidRPr="000C7E7C">
        <w:t>.</w:t>
      </w:r>
      <w:r w:rsidR="00911D76" w:rsidRPr="000C7E7C">
        <w:t xml:space="preserve"> </w:t>
      </w:r>
    </w:p>
    <w:p w14:paraId="56F013AB" w14:textId="77777777" w:rsidR="00637654" w:rsidRPr="000C7E7C" w:rsidRDefault="00637654" w:rsidP="00B55C5C">
      <w:pPr>
        <w:tabs>
          <w:tab w:val="left" w:pos="4547"/>
        </w:tabs>
      </w:pPr>
    </w:p>
    <w:p w14:paraId="219C8B81" w14:textId="0D2D7F68" w:rsidR="00F5533C" w:rsidRPr="000C7E7C" w:rsidRDefault="00F5533C" w:rsidP="00B55C5C">
      <w:pPr>
        <w:pStyle w:val="Normal18J"/>
      </w:pPr>
      <w:r w:rsidRPr="000C7E7C">
        <w:t>Politicisation</w:t>
      </w:r>
    </w:p>
    <w:p w14:paraId="2D1735A5" w14:textId="742A5BCA" w:rsidR="000C7E7C" w:rsidRDefault="0092414F" w:rsidP="00B55C5C">
      <w:pPr>
        <w:pStyle w:val="Normal18Jin0"/>
        <w:spacing w:line="240" w:lineRule="auto"/>
        <w:ind w:firstLine="0"/>
      </w:pPr>
      <w:r>
        <w:t>By politicisation is meant the expansion of the political realm within the executive branch</w:t>
      </w:r>
      <w:r w:rsidR="006A5261">
        <w:t>. Ministerial leadership and their agents (advisers</w:t>
      </w:r>
      <w:r w:rsidR="00705C33">
        <w:t xml:space="preserve"> and other staff</w:t>
      </w:r>
      <w:r w:rsidR="006A5261">
        <w:t>) have become i</w:t>
      </w:r>
      <w:r w:rsidR="00553D89">
        <w:t xml:space="preserve">ntegral elements in government, and they perform </w:t>
      </w:r>
      <w:r w:rsidR="00F20DBB">
        <w:t>legitimate roles</w:t>
      </w:r>
      <w:r w:rsidR="006A5261">
        <w:t xml:space="preserve">. </w:t>
      </w:r>
      <w:r w:rsidR="00262596">
        <w:t>The debates are about how they may operate in practice</w:t>
      </w:r>
      <w:r w:rsidR="00FD6777">
        <w:t xml:space="preserve"> and the consequences of less constrained behav</w:t>
      </w:r>
      <w:r w:rsidR="00FD6777">
        <w:t>iour</w:t>
      </w:r>
      <w:r w:rsidR="00262596">
        <w:t>.</w:t>
      </w:r>
    </w:p>
    <w:p w14:paraId="13C5BF1E" w14:textId="77777777" w:rsidR="00141EB5" w:rsidRDefault="00F20DBB" w:rsidP="00B55C5C">
      <w:pPr>
        <w:pStyle w:val="Normal18Jin0"/>
        <w:spacing w:line="240" w:lineRule="auto"/>
      </w:pPr>
      <w:r w:rsidRPr="00DF57C4">
        <w:t xml:space="preserve">The basis for </w:t>
      </w:r>
      <w:r w:rsidR="00A23252" w:rsidRPr="00DF57C4">
        <w:t>arguing</w:t>
      </w:r>
      <w:r w:rsidRPr="00DF57C4">
        <w:t xml:space="preserve"> that Australia is higher on politicisation than other Anglophone countries (with the </w:t>
      </w:r>
      <w:r w:rsidR="00E2110C" w:rsidRPr="00DF57C4">
        <w:t xml:space="preserve">possible </w:t>
      </w:r>
      <w:r w:rsidRPr="00DF57C4">
        <w:t xml:space="preserve">exception of Canada) is </w:t>
      </w:r>
      <w:r w:rsidR="00A23252" w:rsidRPr="00DF57C4">
        <w:t>ministerial</w:t>
      </w:r>
      <w:r w:rsidR="00C557CA" w:rsidRPr="00DF57C4">
        <w:t xml:space="preserve"> roles</w:t>
      </w:r>
      <w:r w:rsidR="00262596" w:rsidRPr="00DF57C4">
        <w:t xml:space="preserve"> and behaviour</w:t>
      </w:r>
      <w:r w:rsidR="00C557CA" w:rsidRPr="00DF57C4">
        <w:t xml:space="preserve">, </w:t>
      </w:r>
      <w:r w:rsidR="00E2110C" w:rsidRPr="00DF57C4">
        <w:t>the role of the prime minister’s office</w:t>
      </w:r>
      <w:r w:rsidR="00C557CA" w:rsidRPr="00DF57C4">
        <w:t xml:space="preserve">, </w:t>
      </w:r>
      <w:r w:rsidR="00E2110C" w:rsidRPr="00DF57C4">
        <w:t>ministerial advisors (numbers and roles)</w:t>
      </w:r>
      <w:r w:rsidR="00C557CA" w:rsidRPr="00DF57C4">
        <w:t xml:space="preserve">, </w:t>
      </w:r>
      <w:r w:rsidR="000C7E7C" w:rsidRPr="00DF57C4">
        <w:t xml:space="preserve">and </w:t>
      </w:r>
      <w:r w:rsidR="00FD6777" w:rsidRPr="00DF57C4">
        <w:t xml:space="preserve">the process of </w:t>
      </w:r>
      <w:r w:rsidR="00095694" w:rsidRPr="00DF57C4">
        <w:t>appointments and terminations</w:t>
      </w:r>
      <w:r w:rsidR="00427102" w:rsidRPr="00DF57C4">
        <w:t xml:space="preserve">. </w:t>
      </w:r>
      <w:r w:rsidR="005F6B5B" w:rsidRPr="00DF57C4">
        <w:t>Note that these indi</w:t>
      </w:r>
      <w:r w:rsidR="008A41E1" w:rsidRPr="00DF57C4">
        <w:t>c</w:t>
      </w:r>
      <w:r w:rsidR="00FD6777" w:rsidRPr="00DF57C4">
        <w:t>ations refer to the propensity of the</w:t>
      </w:r>
      <w:r w:rsidR="00FD6777">
        <w:t xml:space="preserve"> Australian system</w:t>
      </w:r>
      <w:r w:rsidR="008A41E1">
        <w:t xml:space="preserve"> </w:t>
      </w:r>
      <w:r w:rsidR="000C7E7C">
        <w:t xml:space="preserve">to operate at the high end </w:t>
      </w:r>
      <w:r w:rsidR="00FD6777">
        <w:t xml:space="preserve">at certain </w:t>
      </w:r>
      <w:r w:rsidR="000C7E7C">
        <w:t xml:space="preserve">points in </w:t>
      </w:r>
      <w:r w:rsidR="00FD6777">
        <w:t>times</w:t>
      </w:r>
      <w:r w:rsidR="000C7E7C">
        <w:t>.</w:t>
      </w:r>
      <w:r w:rsidR="00FD6777">
        <w:t xml:space="preserve"> </w:t>
      </w:r>
      <w:r w:rsidR="000C7E7C">
        <w:t>There are notabl</w:t>
      </w:r>
      <w:r w:rsidR="00553D89">
        <w:t xml:space="preserve">e variations between </w:t>
      </w:r>
      <w:r w:rsidR="000C7E7C">
        <w:t xml:space="preserve">prime ministers and ministers. </w:t>
      </w:r>
    </w:p>
    <w:p w14:paraId="283E06E7" w14:textId="77777777" w:rsidR="00DF57C4" w:rsidRDefault="00141EB5" w:rsidP="00B55C5C">
      <w:pPr>
        <w:pStyle w:val="Normal18Jin0"/>
        <w:spacing w:line="240" w:lineRule="auto"/>
      </w:pPr>
      <w:r>
        <w:t xml:space="preserve">Australia </w:t>
      </w:r>
      <w:r w:rsidR="00503C31">
        <w:t>has shared</w:t>
      </w:r>
      <w:r>
        <w:t xml:space="preserve"> </w:t>
      </w:r>
      <w:r>
        <w:t>issues</w:t>
      </w:r>
      <w:r>
        <w:t xml:space="preserve"> with other countries</w:t>
      </w:r>
      <w:r w:rsidR="00503C31">
        <w:t>:</w:t>
      </w:r>
      <w:r>
        <w:t xml:space="preserve"> the environmental pressures on ministers, </w:t>
      </w:r>
      <w:r w:rsidR="00962B80">
        <w:t xml:space="preserve">continuous electioneering, </w:t>
      </w:r>
      <w:r>
        <w:t xml:space="preserve">the fixation on the short term, </w:t>
      </w:r>
      <w:r w:rsidR="00503C31">
        <w:t xml:space="preserve">the hyper demands of policy active ministers, </w:t>
      </w:r>
      <w:r w:rsidR="00685E91">
        <w:t>and department</w:t>
      </w:r>
      <w:r w:rsidR="00503C31">
        <w:t xml:space="preserve"> heads’ sensitivity to stances that can be career threatening.</w:t>
      </w:r>
      <w:r w:rsidR="00095694">
        <w:t xml:space="preserve"> </w:t>
      </w:r>
    </w:p>
    <w:p w14:paraId="354EED9E" w14:textId="0C7ACC85" w:rsidR="00F20DBB" w:rsidRDefault="00503C31" w:rsidP="00B55C5C">
      <w:pPr>
        <w:pStyle w:val="Normal18Jin0"/>
        <w:spacing w:line="240" w:lineRule="auto"/>
      </w:pPr>
      <w:r>
        <w:t xml:space="preserve">The </w:t>
      </w:r>
      <w:r w:rsidR="00095694">
        <w:t>overt and apparently arbitrary displacement of secretaries</w:t>
      </w:r>
      <w:r>
        <w:t xml:space="preserve"> is an Australian speciality</w:t>
      </w:r>
      <w:r w:rsidR="00095694">
        <w:t>.</w:t>
      </w:r>
      <w:r>
        <w:t xml:space="preserve"> </w:t>
      </w:r>
      <w:r w:rsidR="00F20DBB">
        <w:t xml:space="preserve">Australia has also been distinguished by </w:t>
      </w:r>
      <w:r w:rsidR="009E0C34">
        <w:t xml:space="preserve">the practice of </w:t>
      </w:r>
      <w:r w:rsidR="00F20DBB">
        <w:t>new governments choosing the chief advisor i.e. the head of the DPMC (Canada may be the closest</w:t>
      </w:r>
      <w:r w:rsidR="009E0C34">
        <w:t xml:space="preserve"> of the Anglophone countries</w:t>
      </w:r>
      <w:r w:rsidR="00F20DBB">
        <w:t xml:space="preserve">, although Canadians have contested this). Debate and party polarisation </w:t>
      </w:r>
      <w:r w:rsidR="00A23252">
        <w:t>have</w:t>
      </w:r>
      <w:r w:rsidR="00F20DBB">
        <w:t xml:space="preserve"> also now become </w:t>
      </w:r>
      <w:r w:rsidR="00F20DBB">
        <w:lastRenderedPageBreak/>
        <w:t xml:space="preserve">associated with two </w:t>
      </w:r>
      <w:r w:rsidR="002249C3">
        <w:t xml:space="preserve">other </w:t>
      </w:r>
      <w:r w:rsidR="00F20DBB">
        <w:t xml:space="preserve">central agency positions: the Public Service Commissioner and the secretary of Treasury. No other Anglophone </w:t>
      </w:r>
      <w:r w:rsidR="0038793C">
        <w:t xml:space="preserve">country </w:t>
      </w:r>
      <w:r w:rsidR="00F20DBB">
        <w:t>has this record for central agencies.</w:t>
      </w:r>
      <w:r w:rsidR="00427102">
        <w:t xml:space="preserve"> </w:t>
      </w:r>
    </w:p>
    <w:p w14:paraId="0B30E9C3" w14:textId="045527AC" w:rsidR="008626D1" w:rsidRDefault="008626D1" w:rsidP="00B55C5C"/>
    <w:p w14:paraId="346FEBC3" w14:textId="5DFB2ADC" w:rsidR="00F5533C" w:rsidRPr="005F4F04" w:rsidRDefault="00F5533C" w:rsidP="00B55C5C">
      <w:pPr>
        <w:pStyle w:val="Normal18Jin0"/>
        <w:spacing w:line="240" w:lineRule="auto"/>
        <w:ind w:firstLine="0"/>
        <w:jc w:val="left"/>
        <w:rPr>
          <w:i/>
        </w:rPr>
      </w:pPr>
      <w:r w:rsidRPr="005F4F04">
        <w:rPr>
          <w:i/>
        </w:rPr>
        <w:t>Bureaucratisation</w:t>
      </w:r>
    </w:p>
    <w:p w14:paraId="43E3AEB0" w14:textId="594F74ED" w:rsidR="009055C6" w:rsidRDefault="009055C6" w:rsidP="00B55C5C">
      <w:pPr>
        <w:pStyle w:val="Normal18Jin0"/>
        <w:spacing w:line="240" w:lineRule="auto"/>
        <w:ind w:firstLine="0"/>
        <w:jc w:val="left"/>
      </w:pPr>
      <w:r>
        <w:t xml:space="preserve">Debureaucratisation was central to the early managerialist reform agendas in Australia, yet within two decades </w:t>
      </w:r>
      <w:r w:rsidRPr="00F02A3E">
        <w:rPr>
          <w:i/>
        </w:rPr>
        <w:t>internal</w:t>
      </w:r>
      <w:r>
        <w:t xml:space="preserve"> ‘red tape’ was </w:t>
      </w:r>
      <w:r w:rsidRPr="001D76D0">
        <w:t>diagnosed</w:t>
      </w:r>
      <w:r>
        <w:t xml:space="preserve"> as an</w:t>
      </w:r>
      <w:r w:rsidRPr="001D76D0">
        <w:t xml:space="preserve"> expression of a genera</w:t>
      </w:r>
      <w:r>
        <w:t xml:space="preserve">lised condition (Shergold 2003). Five public inquiries have since addressed the </w:t>
      </w:r>
      <w:r w:rsidRPr="001D76D0">
        <w:t>issue</w:t>
      </w:r>
      <w:r>
        <w:t xml:space="preserve"> in less than a decade, two mapping its growing incidence and three focusing solely on red tape. A comprehensive</w:t>
      </w:r>
      <w:r w:rsidRPr="001D76D0">
        <w:t xml:space="preserve"> reform review derided red tape because it reduced agency agility and </w:t>
      </w:r>
      <w:r>
        <w:t xml:space="preserve">the </w:t>
      </w:r>
      <w:r w:rsidRPr="001D76D0">
        <w:t>capacity to achieve objectives and was regularly mentioned as an issue in consultations with public servants</w:t>
      </w:r>
      <w:r>
        <w:t xml:space="preserve"> who specifi</w:t>
      </w:r>
      <w:r w:rsidRPr="001D76D0">
        <w:t>ed the</w:t>
      </w:r>
      <w:r>
        <w:t xml:space="preserve"> volume of regulatory</w:t>
      </w:r>
      <w:r w:rsidRPr="00454367">
        <w:t xml:space="preserve"> and compliance requirements</w:t>
      </w:r>
      <w:r>
        <w:t xml:space="preserve"> (</w:t>
      </w:r>
      <w:r w:rsidR="00376BFB" w:rsidRPr="009507CE">
        <w:t>AGRAGA</w:t>
      </w:r>
      <w:r>
        <w:t xml:space="preserve"> 2010). A</w:t>
      </w:r>
      <w:r w:rsidRPr="00454367">
        <w:t xml:space="preserve"> major </w:t>
      </w:r>
      <w:r>
        <w:t xml:space="preserve">challenge was </w:t>
      </w:r>
      <w:r w:rsidR="002E7B46">
        <w:t xml:space="preserve">removing unnecessary red tape </w:t>
      </w:r>
      <w:r>
        <w:t>according to a review of financial a</w:t>
      </w:r>
      <w:r w:rsidR="002E7B46">
        <w:t>ccountability, which declared</w:t>
      </w:r>
      <w:r>
        <w:t xml:space="preserve"> that the compliance burden would increase </w:t>
      </w:r>
      <w:r w:rsidR="002249C3">
        <w:t xml:space="preserve">with </w:t>
      </w:r>
      <w:r w:rsidR="002249C3" w:rsidRPr="00151C80">
        <w:t>regul</w:t>
      </w:r>
      <w:r w:rsidR="002249C3">
        <w:t xml:space="preserve">atory creep </w:t>
      </w:r>
      <w:r>
        <w:t>if inaction persisted</w:t>
      </w:r>
      <w:r w:rsidR="002E7B46" w:rsidRPr="00454367">
        <w:t xml:space="preserve"> (</w:t>
      </w:r>
      <w:r w:rsidR="00BB7085">
        <w:t>DVD</w:t>
      </w:r>
      <w:r w:rsidR="002E7B46">
        <w:t xml:space="preserve"> 2012).  </w:t>
      </w:r>
    </w:p>
    <w:p w14:paraId="10B16B49" w14:textId="31E12B46" w:rsidR="009055C6" w:rsidRDefault="009055C6" w:rsidP="00B55C5C">
      <w:pPr>
        <w:pStyle w:val="Normal18Jin0"/>
        <w:spacing w:line="240" w:lineRule="auto"/>
        <w:jc w:val="left"/>
      </w:pPr>
      <w:bookmarkStart w:id="0" w:name="_Toc433632086"/>
      <w:r>
        <w:t>The position was deemed to be a whole-of-government matter by the most recent and definitive review, the issues app</w:t>
      </w:r>
      <w:r w:rsidR="00A734EF">
        <w:t>lying across the public service.</w:t>
      </w:r>
      <w:r>
        <w:t xml:space="preserve"> </w:t>
      </w:r>
      <w:bookmarkEnd w:id="0"/>
      <w:r w:rsidR="00A734EF">
        <w:t>R</w:t>
      </w:r>
      <w:r>
        <w:t xml:space="preserve">egulation was excessive, </w:t>
      </w:r>
      <w:r w:rsidRPr="00786219">
        <w:t>inefficient</w:t>
      </w:r>
      <w:r>
        <w:t xml:space="preserve">, </w:t>
      </w:r>
      <w:r w:rsidRPr="00786219">
        <w:t>unclear and inacc</w:t>
      </w:r>
      <w:r>
        <w:t>essible, and embedded in a risk averse cul</w:t>
      </w:r>
      <w:r w:rsidR="00FC7F50">
        <w:t>ture (Belcher 2015</w:t>
      </w:r>
      <w:r>
        <w:t xml:space="preserve">). </w:t>
      </w:r>
      <w:r w:rsidRPr="009D4331">
        <w:rPr>
          <w:szCs w:val="24"/>
        </w:rPr>
        <w:t>The level and</w:t>
      </w:r>
      <w:r>
        <w:rPr>
          <w:szCs w:val="24"/>
        </w:rPr>
        <w:t xml:space="preserve"> volume of internal regulation wa</w:t>
      </w:r>
      <w:r w:rsidRPr="009D4331">
        <w:rPr>
          <w:szCs w:val="24"/>
        </w:rPr>
        <w:t>s growing</w:t>
      </w:r>
      <w:r>
        <w:rPr>
          <w:szCs w:val="24"/>
        </w:rPr>
        <w:t xml:space="preserve"> (covering more than 600 documents entailing 8,000 requirements) and had increased since the previous count five years earlier</w:t>
      </w:r>
      <w:r>
        <w:t>. The inefficiencies derived from the scale of data collected, and compliance</w:t>
      </w:r>
      <w:r w:rsidRPr="0078076E">
        <w:t xml:space="preserve"> reporting</w:t>
      </w:r>
      <w:r>
        <w:t xml:space="preserve"> that involved duplication and wasted resourc</w:t>
      </w:r>
      <w:r w:rsidR="00A3165C">
        <w:t xml:space="preserve">es, and </w:t>
      </w:r>
      <w:r>
        <w:t>the level</w:t>
      </w:r>
      <w:r w:rsidR="006B3C81">
        <w:rPr>
          <w:szCs w:val="24"/>
        </w:rPr>
        <w:t xml:space="preserve"> of ad </w:t>
      </w:r>
      <w:r w:rsidRPr="0078076E">
        <w:rPr>
          <w:szCs w:val="24"/>
        </w:rPr>
        <w:t xml:space="preserve">hoc reporting </w:t>
      </w:r>
      <w:r w:rsidR="006B3C81">
        <w:rPr>
          <w:szCs w:val="24"/>
        </w:rPr>
        <w:t xml:space="preserve">on </w:t>
      </w:r>
      <w:r w:rsidRPr="0078076E">
        <w:rPr>
          <w:szCs w:val="24"/>
        </w:rPr>
        <w:t>specific task</w:t>
      </w:r>
      <w:r w:rsidR="006B3C81">
        <w:rPr>
          <w:szCs w:val="24"/>
        </w:rPr>
        <w:t>s</w:t>
      </w:r>
      <w:r>
        <w:rPr>
          <w:szCs w:val="24"/>
        </w:rPr>
        <w:t xml:space="preserve"> without </w:t>
      </w:r>
      <w:r w:rsidRPr="0078076E">
        <w:rPr>
          <w:szCs w:val="24"/>
        </w:rPr>
        <w:t>a</w:t>
      </w:r>
      <w:r>
        <w:rPr>
          <w:szCs w:val="24"/>
        </w:rPr>
        <w:t xml:space="preserve"> clear purpose</w:t>
      </w:r>
      <w:r>
        <w:t>. Confusing regulatory requir</w:t>
      </w:r>
      <w:r w:rsidR="004F19A9">
        <w:t>ements created further problems</w:t>
      </w:r>
      <w:r>
        <w:t xml:space="preserve"> because it was unclear whether compliance was mandatory and meaningful guidance</w:t>
      </w:r>
      <w:r w:rsidRPr="00786219">
        <w:t xml:space="preserve"> </w:t>
      </w:r>
      <w:r w:rsidR="004F19A9">
        <w:t>was lacking</w:t>
      </w:r>
      <w:r w:rsidRPr="00786219">
        <w:t>.</w:t>
      </w:r>
      <w:r>
        <w:t xml:space="preserve"> Many practices existed that were not required for internal control purposes and added to the burde</w:t>
      </w:r>
      <w:r w:rsidR="004F19A9">
        <w:t>n of process (Belcher 2015</w:t>
      </w:r>
      <w:r>
        <w:t xml:space="preserve">). </w:t>
      </w:r>
    </w:p>
    <w:p w14:paraId="496657B2" w14:textId="77777777" w:rsidR="005456C0" w:rsidRDefault="005456C0" w:rsidP="00B55C5C"/>
    <w:p w14:paraId="3E1A9096" w14:textId="77777777" w:rsidR="00197F13" w:rsidRPr="0096628E" w:rsidRDefault="00197F13" w:rsidP="00B55C5C">
      <w:pPr>
        <w:pStyle w:val="Normal18Jin0"/>
        <w:spacing w:line="240" w:lineRule="auto"/>
        <w:ind w:firstLine="0"/>
        <w:jc w:val="left"/>
        <w:rPr>
          <w:i/>
        </w:rPr>
      </w:pPr>
      <w:r w:rsidRPr="0096628E">
        <w:rPr>
          <w:i/>
        </w:rPr>
        <w:t>Risk aversion</w:t>
      </w:r>
    </w:p>
    <w:p w14:paraId="1C299A38" w14:textId="2995F754" w:rsidR="00197F13" w:rsidRPr="00B55522" w:rsidRDefault="00197F13" w:rsidP="00B55C5C">
      <w:pPr>
        <w:pStyle w:val="Normal18Jin0"/>
        <w:spacing w:line="240" w:lineRule="auto"/>
        <w:ind w:firstLine="0"/>
        <w:jc w:val="left"/>
      </w:pPr>
      <w:r w:rsidRPr="00B55522">
        <w:t xml:space="preserve">Risk aversion is the behaviour of ministers and public servants who seek to reduce uncertainty by choosing lower risk </w:t>
      </w:r>
      <w:r w:rsidR="00A23252" w:rsidRPr="00B55522">
        <w:t>options and</w:t>
      </w:r>
      <w:r w:rsidRPr="00B55522">
        <w:t xml:space="preserve"> adopting measures or regulations </w:t>
      </w:r>
      <w:r>
        <w:t xml:space="preserve">that </w:t>
      </w:r>
      <w:r w:rsidRPr="00B55522">
        <w:t xml:space="preserve">cover activities </w:t>
      </w:r>
      <w:r>
        <w:t>with</w:t>
      </w:r>
      <w:r w:rsidRPr="00B55522">
        <w:t xml:space="preserve"> compliance requirements. It was often closely related to red tape, the negative side of regulation. All </w:t>
      </w:r>
      <w:r w:rsidR="001E320A">
        <w:t xml:space="preserve">Anglophone </w:t>
      </w:r>
      <w:r w:rsidRPr="00B55522">
        <w:t>countries ha</w:t>
      </w:r>
      <w:r w:rsidR="001E320A">
        <w:t>ve h</w:t>
      </w:r>
      <w:r w:rsidR="00A13634">
        <w:t>a</w:t>
      </w:r>
      <w:r w:rsidR="004F19A9">
        <w:t>d a problem with risk aversion, but it has</w:t>
      </w:r>
      <w:r w:rsidRPr="00B55522">
        <w:t xml:space="preserve"> been deep-seated and systemic in Australia </w:t>
      </w:r>
      <w:r>
        <w:t>(</w:t>
      </w:r>
      <w:r w:rsidRPr="00B55522">
        <w:t>and Canada</w:t>
      </w:r>
      <w:r>
        <w:t>)</w:t>
      </w:r>
      <w:r w:rsidRPr="00B55522">
        <w:t xml:space="preserve"> during the </w:t>
      </w:r>
      <w:r w:rsidR="004E46C2">
        <w:t>21st century.</w:t>
      </w:r>
    </w:p>
    <w:p w14:paraId="030E1404" w14:textId="689CCD09" w:rsidR="00197F13" w:rsidRDefault="00197F13" w:rsidP="00B55C5C">
      <w:pPr>
        <w:pStyle w:val="Normal18Jin0"/>
        <w:spacing w:line="240" w:lineRule="auto"/>
        <w:jc w:val="left"/>
      </w:pPr>
      <w:r>
        <w:t>The striking feature in Australia was the pinpointing of the problem in major reviews by central agencies during the 2010s: t</w:t>
      </w:r>
      <w:r>
        <w:rPr>
          <w:lang w:val="en-US"/>
        </w:rPr>
        <w:t xml:space="preserve">he Blueprint for reform advocated reducing red tape from excessive </w:t>
      </w:r>
      <w:r w:rsidR="008B6C63">
        <w:rPr>
          <w:lang w:val="en-US"/>
        </w:rPr>
        <w:t>risk aversion (AGRAGA 2010</w:t>
      </w:r>
      <w:r>
        <w:rPr>
          <w:lang w:val="en-US"/>
        </w:rPr>
        <w:t xml:space="preserve">); </w:t>
      </w:r>
      <w:r>
        <w:t>risk aversion was reported to be growing and dominating departmental culture (APSC 2014); of 1</w:t>
      </w:r>
      <w:r w:rsidR="00C71632">
        <w:t>8 capability reviews</w:t>
      </w:r>
      <w:r>
        <w:t xml:space="preserve">, </w:t>
      </w:r>
      <w:r w:rsidR="008B6C63">
        <w:t xml:space="preserve">risk aversion was at significant levels in </w:t>
      </w:r>
      <w:r>
        <w:t>72 per</w:t>
      </w:r>
      <w:r w:rsidR="008B6C63">
        <w:t xml:space="preserve"> cent</w:t>
      </w:r>
      <w:r>
        <w:t xml:space="preserve"> (Belcher 201</w:t>
      </w:r>
      <w:r w:rsidR="00E7214D">
        <w:t>5</w:t>
      </w:r>
      <w:r w:rsidR="00CA4C86">
        <w:t>); and</w:t>
      </w:r>
      <w:r w:rsidR="008B6C63">
        <w:t xml:space="preserve"> </w:t>
      </w:r>
      <w:r>
        <w:t>was</w:t>
      </w:r>
      <w:r w:rsidRPr="0093049A">
        <w:t xml:space="preserve"> </w:t>
      </w:r>
      <w:r w:rsidR="008B6C63">
        <w:t>embedded in</w:t>
      </w:r>
      <w:r w:rsidRPr="0093049A">
        <w:t xml:space="preserve"> </w:t>
      </w:r>
      <w:r w:rsidR="008B6C63" w:rsidRPr="0093049A">
        <w:t>offi</w:t>
      </w:r>
      <w:r w:rsidR="008B6C63">
        <w:t>cials’</w:t>
      </w:r>
      <w:r w:rsidR="008B6C63" w:rsidRPr="0093049A">
        <w:t xml:space="preserve"> </w:t>
      </w:r>
      <w:r w:rsidR="008B6C63">
        <w:t xml:space="preserve">psyche and </w:t>
      </w:r>
      <w:r>
        <w:t>practice</w:t>
      </w:r>
      <w:r w:rsidR="008B6C63">
        <w:t>s</w:t>
      </w:r>
      <w:r w:rsidR="00E7214D">
        <w:t xml:space="preserve"> (Independent Review 2018</w:t>
      </w:r>
      <w:r>
        <w:t xml:space="preserve">). </w:t>
      </w:r>
    </w:p>
    <w:p w14:paraId="304004FB" w14:textId="77777777" w:rsidR="00EA5C7A" w:rsidRDefault="00197F13" w:rsidP="00B55C5C">
      <w:pPr>
        <w:pStyle w:val="Normal18Jin0"/>
        <w:spacing w:line="240" w:lineRule="auto"/>
        <w:jc w:val="left"/>
      </w:pPr>
      <w:r>
        <w:t>Four sources of risk aversion have been identified:</w:t>
      </w:r>
      <w:r w:rsidRPr="00FA4F60">
        <w:t xml:space="preserve"> ministers concerned with media demands</w:t>
      </w:r>
      <w:r>
        <w:t xml:space="preserve"> and the focus on the ‘got</w:t>
      </w:r>
      <w:r w:rsidR="00A0638E">
        <w:t>cha’ function</w:t>
      </w:r>
      <w:r w:rsidRPr="00FA4F60">
        <w:t>, public</w:t>
      </w:r>
      <w:r w:rsidRPr="00C63247">
        <w:t xml:space="preserve"> </w:t>
      </w:r>
      <w:r>
        <w:t>scrutiny</w:t>
      </w:r>
      <w:r w:rsidRPr="00C63247">
        <w:t xml:space="preserve"> and electoral factors; centra</w:t>
      </w:r>
      <w:r>
        <w:t xml:space="preserve">l and oversight agencies </w:t>
      </w:r>
      <w:r w:rsidR="00A23252" w:rsidRPr="00C63247">
        <w:t>reporting,</w:t>
      </w:r>
      <w:r w:rsidRPr="00C63247">
        <w:t xml:space="preserve"> and accountability demands o</w:t>
      </w:r>
      <w:r>
        <w:t>n departments</w:t>
      </w:r>
      <w:r w:rsidRPr="00C63247">
        <w:t xml:space="preserve">; </w:t>
      </w:r>
      <w:r>
        <w:t xml:space="preserve">fear of </w:t>
      </w:r>
      <w:r w:rsidRPr="00C63247">
        <w:t>failure and external scrutiny; senior management afflicted by politicians’ angst and the p</w:t>
      </w:r>
      <w:r>
        <w:t>ublic accountability framework</w:t>
      </w:r>
      <w:r w:rsidR="00CC21BD">
        <w:t>,</w:t>
      </w:r>
      <w:r>
        <w:t xml:space="preserve"> and other </w:t>
      </w:r>
      <w:r w:rsidRPr="00C63247">
        <w:t>staff afflicted by all th</w:t>
      </w:r>
      <w:r w:rsidR="00F266F0">
        <w:t>e above.</w:t>
      </w:r>
    </w:p>
    <w:p w14:paraId="7856B2FE" w14:textId="00505DB2" w:rsidR="00EA5C7A" w:rsidRDefault="00EA5C7A" w:rsidP="00B55C5C">
      <w:pPr>
        <w:pStyle w:val="Normal18Jin0"/>
        <w:spacing w:line="240" w:lineRule="auto"/>
        <w:jc w:val="left"/>
      </w:pPr>
      <w:r>
        <w:t xml:space="preserve">There are strong indications that the Australian public service is more prone to risk </w:t>
      </w:r>
      <w:r w:rsidR="00BC2E19">
        <w:t xml:space="preserve">aversion </w:t>
      </w:r>
      <w:r>
        <w:t>and over-regulation than other Anglophone countries.</w:t>
      </w:r>
    </w:p>
    <w:p w14:paraId="3D8DDC48" w14:textId="610BDD95" w:rsidR="00F5533C" w:rsidRDefault="00F5533C" w:rsidP="00B55C5C"/>
    <w:p w14:paraId="0C597DA2" w14:textId="77777777" w:rsidR="00A213D0" w:rsidRPr="00B2035A" w:rsidRDefault="00A213D0" w:rsidP="00B55C5C">
      <w:pPr>
        <w:pStyle w:val="Normal18Jin0"/>
        <w:spacing w:line="240" w:lineRule="auto"/>
        <w:ind w:firstLine="0"/>
        <w:jc w:val="left"/>
        <w:rPr>
          <w:i/>
        </w:rPr>
      </w:pPr>
      <w:r w:rsidRPr="00B2035A">
        <w:rPr>
          <w:i/>
        </w:rPr>
        <w:t>Innovation and risk</w:t>
      </w:r>
    </w:p>
    <w:p w14:paraId="7B66FCBA" w14:textId="6D651874" w:rsidR="00A213D0" w:rsidRDefault="00A213D0" w:rsidP="00B55C5C">
      <w:pPr>
        <w:pStyle w:val="Normal18Jin0"/>
        <w:spacing w:line="240" w:lineRule="auto"/>
        <w:ind w:firstLine="0"/>
        <w:jc w:val="left"/>
      </w:pPr>
      <w:r>
        <w:t>A</w:t>
      </w:r>
      <w:r w:rsidR="00B26852">
        <w:t xml:space="preserve"> central aspiration, innovation, h</w:t>
      </w:r>
      <w:r>
        <w:t xml:space="preserve">as </w:t>
      </w:r>
      <w:r w:rsidR="00FA2384">
        <w:t>often</w:t>
      </w:r>
      <w:r>
        <w:t xml:space="preserve"> </w:t>
      </w:r>
      <w:r w:rsidR="00732305">
        <w:t xml:space="preserve">been </w:t>
      </w:r>
      <w:r>
        <w:t xml:space="preserve">thwarted. </w:t>
      </w:r>
      <w:r>
        <w:rPr>
          <w:lang w:val="en-US"/>
        </w:rPr>
        <w:t xml:space="preserve">A stronger fixation on risk emerged </w:t>
      </w:r>
      <w:r w:rsidR="00C76410">
        <w:rPr>
          <w:lang w:val="en-US"/>
        </w:rPr>
        <w:t xml:space="preserve">internationally </w:t>
      </w:r>
      <w:r>
        <w:rPr>
          <w:lang w:val="en-US"/>
        </w:rPr>
        <w:t>with the interest in innovation, but</w:t>
      </w:r>
      <w:r w:rsidR="00FA2384">
        <w:t xml:space="preserve"> similar patterns have been</w:t>
      </w:r>
      <w:r w:rsidR="001E021D">
        <w:t xml:space="preserve"> apparent</w:t>
      </w:r>
      <w:r w:rsidR="00FA2384">
        <w:t>:</w:t>
      </w:r>
      <w:r>
        <w:t xml:space="preserve"> in</w:t>
      </w:r>
      <w:r>
        <w:rPr>
          <w:spacing w:val="-1"/>
        </w:rPr>
        <w:t>n</w:t>
      </w:r>
      <w:r>
        <w:t>o</w:t>
      </w:r>
      <w:r>
        <w:rPr>
          <w:spacing w:val="-1"/>
        </w:rPr>
        <w:t>v</w:t>
      </w:r>
      <w:r>
        <w:t>a</w:t>
      </w:r>
      <w:r>
        <w:rPr>
          <w:spacing w:val="-1"/>
        </w:rPr>
        <w:t>t</w:t>
      </w:r>
      <w:r>
        <w:t>ion</w:t>
      </w:r>
      <w:r>
        <w:rPr>
          <w:lang w:val="en-US"/>
        </w:rPr>
        <w:t xml:space="preserve"> was often directly and negatively linked to either the </w:t>
      </w:r>
      <w:r w:rsidRPr="00EA5A9A">
        <w:t xml:space="preserve">inability to manage risk or </w:t>
      </w:r>
      <w:r w:rsidRPr="00EA5A9A">
        <w:lastRenderedPageBreak/>
        <w:t>managers’ unwillingness to undertake risk. The trend towards a compliance culture ha</w:t>
      </w:r>
      <w:r>
        <w:t>d</w:t>
      </w:r>
      <w:r w:rsidR="00FA2384">
        <w:t xml:space="preserve"> adverse effects. </w:t>
      </w:r>
      <w:r w:rsidR="00766B0E">
        <w:t>I</w:t>
      </w:r>
      <w:r>
        <w:t xml:space="preserve">nnovation was restricted by systemic risk aversion and decision making centralised at senior departmental levels (Belcher 2015). The imposition of ‘red-tape standardisation’ on delivery agencies stifled creativity and weakened innovation </w:t>
      </w:r>
      <w:r w:rsidR="00FA2384">
        <w:t>(Shergold 2013</w:t>
      </w:r>
      <w:r>
        <w:t>). Unless risk aversion can be addressed, the public sector is expected to lag behind other sectors in responding to technological change and citizens’ expectatio</w:t>
      </w:r>
      <w:r w:rsidR="00C95E0C">
        <w:t>ns (Independent Review 2018</w:t>
      </w:r>
      <w:r>
        <w:t>)</w:t>
      </w:r>
      <w:r w:rsidRPr="0093049A">
        <w:t>.</w:t>
      </w:r>
    </w:p>
    <w:p w14:paraId="1F4099D0" w14:textId="317294D2" w:rsidR="00A213D0" w:rsidRDefault="00A213D0" w:rsidP="00B55C5C"/>
    <w:p w14:paraId="00061C6E" w14:textId="10B1840B" w:rsidR="00B26852" w:rsidRPr="00040F39" w:rsidRDefault="00B26852" w:rsidP="00B55C5C">
      <w:pPr>
        <w:pStyle w:val="Normal18Jin0"/>
        <w:spacing w:line="240" w:lineRule="auto"/>
        <w:ind w:firstLine="0"/>
        <w:jc w:val="left"/>
        <w:rPr>
          <w:i/>
        </w:rPr>
      </w:pPr>
      <w:r w:rsidRPr="00040F39">
        <w:rPr>
          <w:i/>
        </w:rPr>
        <w:t xml:space="preserve">Risk management </w:t>
      </w:r>
    </w:p>
    <w:p w14:paraId="63838DD1" w14:textId="29045D99" w:rsidR="00B26852" w:rsidRPr="0050767E" w:rsidRDefault="00B26852" w:rsidP="00B55C5C">
      <w:pPr>
        <w:pStyle w:val="Normal18Jin0"/>
        <w:spacing w:line="240" w:lineRule="auto"/>
        <w:ind w:firstLine="0"/>
        <w:jc w:val="left"/>
      </w:pPr>
      <w:r>
        <w:t>Implementing risk mana</w:t>
      </w:r>
      <w:r w:rsidR="00B01E1F">
        <w:t>gement has been a hard slog</w:t>
      </w:r>
      <w:r>
        <w:t xml:space="preserve">: </w:t>
      </w:r>
      <w:r w:rsidR="00E0281B">
        <w:t xml:space="preserve">the </w:t>
      </w:r>
      <w:r>
        <w:t xml:space="preserve">APS </w:t>
      </w:r>
      <w:r w:rsidR="006B36D1">
        <w:t xml:space="preserve">has </w:t>
      </w:r>
      <w:r>
        <w:t xml:space="preserve">grappled with making risk management work effectively, and some progress </w:t>
      </w:r>
      <w:r w:rsidR="006B36D1">
        <w:t xml:space="preserve">has </w:t>
      </w:r>
      <w:r w:rsidR="00A23252">
        <w:t>occurred,</w:t>
      </w:r>
      <w:r>
        <w:t xml:space="preserve"> but it remained variable across the system. In organisational capability assessments, risk management ranked poorly; two-thirds of Australian agencies ranked below th</w:t>
      </w:r>
      <w:r w:rsidR="00E0281B">
        <w:t>e required level (APSC 2013</w:t>
      </w:r>
      <w:r>
        <w:t xml:space="preserve">). </w:t>
      </w:r>
      <w:r w:rsidR="001819EC">
        <w:t>R</w:t>
      </w:r>
      <w:r w:rsidR="008250A0">
        <w:t>isk management wa</w:t>
      </w:r>
      <w:r>
        <w:t xml:space="preserve">s </w:t>
      </w:r>
      <w:r w:rsidR="008250A0">
        <w:t xml:space="preserve">often </w:t>
      </w:r>
      <w:r>
        <w:t xml:space="preserve">a compliance exercise rather than a </w:t>
      </w:r>
      <w:r w:rsidR="00E0281B">
        <w:t>way of working’ (APSC 2014</w:t>
      </w:r>
      <w:r w:rsidR="008250A0">
        <w:t>).</w:t>
      </w:r>
      <w:r>
        <w:t xml:space="preserve"> R</w:t>
      </w:r>
      <w:r w:rsidRPr="0093049A">
        <w:t xml:space="preserve">isk practice </w:t>
      </w:r>
      <w:r w:rsidR="008250A0">
        <w:t xml:space="preserve">has </w:t>
      </w:r>
      <w:r>
        <w:t>remained</w:t>
      </w:r>
      <w:r w:rsidRPr="0093049A">
        <w:t xml:space="preserve"> relatively</w:t>
      </w:r>
      <w:r>
        <w:t xml:space="preserve"> immature. A more effective</w:t>
      </w:r>
      <w:r w:rsidRPr="0093049A">
        <w:t xml:space="preserve"> risk culture </w:t>
      </w:r>
      <w:r>
        <w:t>is unlikely without</w:t>
      </w:r>
      <w:r w:rsidRPr="0093049A">
        <w:t xml:space="preserve"> support from </w:t>
      </w:r>
      <w:r>
        <w:t>political lead</w:t>
      </w:r>
      <w:r w:rsidR="00F13C65">
        <w:t>ers (Independent Review 2018</w:t>
      </w:r>
      <w:r>
        <w:t>).</w:t>
      </w:r>
    </w:p>
    <w:p w14:paraId="480221A8" w14:textId="393E2ADE" w:rsidR="006A67F5" w:rsidRDefault="006A67F5" w:rsidP="00B55C5C"/>
    <w:p w14:paraId="06D80528" w14:textId="1DA41FD3" w:rsidR="00C714AE" w:rsidRPr="008250A0" w:rsidRDefault="007B733D" w:rsidP="00B55C5C">
      <w:pPr>
        <w:pStyle w:val="Normal18J"/>
      </w:pPr>
      <w:r w:rsidRPr="008250A0">
        <w:t>Policy capability</w:t>
      </w:r>
    </w:p>
    <w:p w14:paraId="3446D689" w14:textId="0CC2B139" w:rsidR="00012C0C" w:rsidRDefault="00012C0C" w:rsidP="00B55C5C">
      <w:pPr>
        <w:pStyle w:val="Normal18Jin0"/>
        <w:spacing w:line="240" w:lineRule="auto"/>
        <w:ind w:firstLine="0"/>
        <w:jc w:val="left"/>
      </w:pPr>
      <w:r>
        <w:t>Policy capability is an integral component of the public management system but has been identified as an ailing field in the 21</w:t>
      </w:r>
      <w:r w:rsidRPr="00B97F4A">
        <w:rPr>
          <w:vertAlign w:val="superscript"/>
        </w:rPr>
        <w:t>st</w:t>
      </w:r>
      <w:r>
        <w:t xml:space="preserve"> century that was not readily amenable to </w:t>
      </w:r>
      <w:r w:rsidRPr="00581126">
        <w:t xml:space="preserve">resuscitation. </w:t>
      </w:r>
      <w:r>
        <w:t xml:space="preserve">The </w:t>
      </w:r>
      <w:r w:rsidRPr="00E60DF7">
        <w:t>public service</w:t>
      </w:r>
      <w:r>
        <w:t>’</w:t>
      </w:r>
      <w:r w:rsidRPr="00E60DF7">
        <w:t xml:space="preserve">s </w:t>
      </w:r>
      <w:r>
        <w:t xml:space="preserve">policy role changed with the rise of managerialism </w:t>
      </w:r>
      <w:r w:rsidRPr="00981D92">
        <w:t>as senior executive</w:t>
      </w:r>
      <w:r w:rsidR="00BB4C29">
        <w:t>s and department heads were expect</w:t>
      </w:r>
      <w:r w:rsidRPr="00981D92">
        <w:t xml:space="preserve">ed to manage </w:t>
      </w:r>
      <w:r w:rsidR="00BB4C29">
        <w:t xml:space="preserve">and their </w:t>
      </w:r>
      <w:r>
        <w:t>role within</w:t>
      </w:r>
      <w:r w:rsidR="00023F80">
        <w:t xml:space="preserve"> the advisory system was reduc</w:t>
      </w:r>
      <w:r>
        <w:t>ed as political executives became more assertive</w:t>
      </w:r>
      <w:r w:rsidRPr="00E60DF7">
        <w:t xml:space="preserve"> (Hal</w:t>
      </w:r>
      <w:r>
        <w:t>ligan and Power</w:t>
      </w:r>
      <w:r w:rsidRPr="00E60DF7">
        <w:t xml:space="preserve"> </w:t>
      </w:r>
      <w:r>
        <w:t>1992). Studies have since</w:t>
      </w:r>
      <w:r w:rsidRPr="0096152F">
        <w:t xml:space="preserve"> </w:t>
      </w:r>
      <w:r>
        <w:t xml:space="preserve">reported </w:t>
      </w:r>
      <w:r w:rsidRPr="00E60DF7">
        <w:t xml:space="preserve">that </w:t>
      </w:r>
      <w:r>
        <w:t>the policy capability</w:t>
      </w:r>
      <w:r w:rsidRPr="0096152F">
        <w:t xml:space="preserve"> of departments has</w:t>
      </w:r>
      <w:r>
        <w:t xml:space="preserve"> been erod</w:t>
      </w:r>
      <w:r w:rsidR="00F648BB">
        <w:t>ed</w:t>
      </w:r>
      <w:r w:rsidRPr="0096152F">
        <w:t xml:space="preserve">, and their policy </w:t>
      </w:r>
      <w:r w:rsidRPr="003C351A">
        <w:t>expertise</w:t>
      </w:r>
      <w:r w:rsidR="00EE10FC">
        <w:t xml:space="preserve"> valued less</w:t>
      </w:r>
      <w:r w:rsidRPr="0096152F">
        <w:t xml:space="preserve">. </w:t>
      </w:r>
      <w:r>
        <w:t>An</w:t>
      </w:r>
      <w:r w:rsidRPr="00DE4880">
        <w:t xml:space="preserve"> </w:t>
      </w:r>
      <w:r>
        <w:t>official view was that the p</w:t>
      </w:r>
      <w:r w:rsidRPr="00E60DF7">
        <w:t>ol</w:t>
      </w:r>
      <w:r>
        <w:t>icy capability of the public service required</w:t>
      </w:r>
      <w:r w:rsidRPr="00E60DF7">
        <w:t xml:space="preserve"> strengthening, </w:t>
      </w:r>
      <w:r>
        <w:t>particularly innovative and strategic advice</w:t>
      </w:r>
      <w:r w:rsidRPr="004731D6">
        <w:t xml:space="preserve"> </w:t>
      </w:r>
      <w:r>
        <w:t>(</w:t>
      </w:r>
      <w:r w:rsidR="00BB7085">
        <w:t>AGRAGA</w:t>
      </w:r>
      <w:r w:rsidR="00D703B9">
        <w:t xml:space="preserve"> 2010</w:t>
      </w:r>
      <w:r w:rsidRPr="004731D6">
        <w:t>)</w:t>
      </w:r>
      <w:r w:rsidRPr="00A671D3">
        <w:t>.</w:t>
      </w:r>
      <w:r>
        <w:t xml:space="preserve"> T</w:t>
      </w:r>
      <w:r w:rsidRPr="00E60DF7">
        <w:t>he ambiguous s</w:t>
      </w:r>
      <w:r>
        <w:t xml:space="preserve">tatus of the policy role of </w:t>
      </w:r>
      <w:r w:rsidRPr="00E60DF7">
        <w:t>departmental secretaries was</w:t>
      </w:r>
      <w:r>
        <w:t xml:space="preserve"> such that</w:t>
      </w:r>
      <w:r w:rsidRPr="00E60DF7">
        <w:t xml:space="preserve"> </w:t>
      </w:r>
      <w:r>
        <w:t xml:space="preserve">it required legislation to </w:t>
      </w:r>
      <w:r w:rsidRPr="00E60DF7">
        <w:t>reviv</w:t>
      </w:r>
      <w:r>
        <w:t>e it as a formal responsibility</w:t>
      </w:r>
      <w:r w:rsidRPr="00E60DF7">
        <w:t xml:space="preserve"> </w:t>
      </w:r>
      <w:r>
        <w:t xml:space="preserve">of departmental secretaries </w:t>
      </w:r>
      <w:r w:rsidRPr="00E60DF7">
        <w:t>(Halligan 2013).</w:t>
      </w:r>
      <w:r>
        <w:t xml:space="preserve">  </w:t>
      </w:r>
    </w:p>
    <w:p w14:paraId="4E674FFF" w14:textId="690FEF34" w:rsidR="00012C0C" w:rsidRPr="00FA00B7" w:rsidRDefault="00012C0C" w:rsidP="00B55C5C">
      <w:pPr>
        <w:pStyle w:val="Normal18Jin0"/>
        <w:spacing w:line="240" w:lineRule="auto"/>
        <w:jc w:val="left"/>
      </w:pPr>
      <w:r>
        <w:t>Specific</w:t>
      </w:r>
      <w:r w:rsidRPr="00B56301">
        <w:t xml:space="preserve"> details </w:t>
      </w:r>
      <w:r>
        <w:t>about the loss of departmental policy capability offer insights ab</w:t>
      </w:r>
      <w:r w:rsidR="00305BC5">
        <w:t>out the extent of the problem</w:t>
      </w:r>
      <w:r>
        <w:t>. Capability reviews were us</w:t>
      </w:r>
      <w:r w:rsidR="00E61EEA">
        <w:t xml:space="preserve">ed </w:t>
      </w:r>
      <w:r>
        <w:t xml:space="preserve">to provide systematic assessments of departments’ capability from 2011-15. Departments varied widely in terms of the quality and extent of their policy capability, ranging from well-developed to laissez faire, but were generally weak on six dimensions: policy development, strategy, research and analysis, policy implementation, stakeholder engagement and evaluation (Halligan 2016). </w:t>
      </w:r>
    </w:p>
    <w:p w14:paraId="642BB339" w14:textId="77777777" w:rsidR="00F6705D" w:rsidRDefault="00012C0C" w:rsidP="00B55C5C">
      <w:pPr>
        <w:pStyle w:val="Normal18Jin0"/>
        <w:spacing w:line="240" w:lineRule="auto"/>
        <w:jc w:val="left"/>
      </w:pPr>
      <w:r>
        <w:t xml:space="preserve">There were substantial variations in departments’ ability to offer choices, ground advice in evidence (particularly where departments had a large data base), draw on effective consultation internally and externally, and be forward looking, other qualitative factors varied. Most departments either lacked a strategic focus or made inadequate provision for it or simply neglected it in practice. Strategic policy was often ad hoc and siloed. Departments were reactive and disinclined to be forward looking, which was attributed to day-to-day pressures and issues, a culture of problem-solving, and a prevalence of tactical and transactional considerations. There was a need to recognise strategic policy development as a capability, organisationally and within a policy framework aligned with departmental objectives. The policy and implementation relationship was a perennial issue. For departments, there was often a lack of systematic feedback loops from the service delivery coalface to those who developed policy and designed national programs. Departments generated rich intelligence from the interactions of networks with clients and service providers, but the evidence was largely untapped or unstructured in being relayed back to the national office. Stakeholder engagement on policy was a pervasive theme, but consultation was usually inadequate for various reasons (e.g. too late or lack of proper engagement). </w:t>
      </w:r>
      <w:r>
        <w:lastRenderedPageBreak/>
        <w:t>Evaluation was not formally embedded in contrast to other countries (e.g. Canada), and was patchy or under-developed, except for several departments. The most telling result was the passive approach to policy overall, which was reflected in the relative lack of policy advocacy and leadership (Halligan 2016)</w:t>
      </w:r>
      <w:r w:rsidRPr="006D2626">
        <w:t>.</w:t>
      </w:r>
      <w:r>
        <w:t xml:space="preserve"> </w:t>
      </w:r>
    </w:p>
    <w:p w14:paraId="57F6764B" w14:textId="77777777" w:rsidR="00685E91" w:rsidRDefault="00F6705D" w:rsidP="00B55C5C">
      <w:pPr>
        <w:pStyle w:val="Normal18Jin0"/>
        <w:spacing w:line="240" w:lineRule="auto"/>
        <w:jc w:val="left"/>
      </w:pPr>
      <w:r>
        <w:t>S</w:t>
      </w:r>
      <w:r w:rsidR="00804D14">
        <w:t xml:space="preserve">ome departments have been able to maintain a core capability, but </w:t>
      </w:r>
      <w:r w:rsidR="00A767FC">
        <w:t>there is appare</w:t>
      </w:r>
      <w:r w:rsidR="0044088E">
        <w:t>ntly no analysis of how much departments’</w:t>
      </w:r>
      <w:r w:rsidR="00A767FC">
        <w:t xml:space="preserve"> position</w:t>
      </w:r>
      <w:r w:rsidR="00804D14">
        <w:t xml:space="preserve"> has</w:t>
      </w:r>
      <w:bookmarkStart w:id="1" w:name="_GoBack"/>
      <w:bookmarkEnd w:id="1"/>
      <w:r w:rsidR="00804D14">
        <w:t xml:space="preserve"> improved</w:t>
      </w:r>
      <w:r w:rsidR="00A767FC">
        <w:t xml:space="preserve"> under resource constraints</w:t>
      </w:r>
      <w:r w:rsidR="00804D14">
        <w:t>.</w:t>
      </w:r>
      <w:r w:rsidR="00C31750">
        <w:t xml:space="preserve"> W</w:t>
      </w:r>
      <w:r w:rsidR="00804D14">
        <w:t xml:space="preserve">e have </w:t>
      </w:r>
      <w:r w:rsidR="00230294">
        <w:t xml:space="preserve">it </w:t>
      </w:r>
      <w:r w:rsidR="00804D14">
        <w:t xml:space="preserve">on </w:t>
      </w:r>
      <w:r w:rsidR="00C31750">
        <w:t>the authority of the head of DPMC</w:t>
      </w:r>
      <w:r w:rsidR="00804D14">
        <w:t xml:space="preserve"> that consultants </w:t>
      </w:r>
      <w:r w:rsidR="00C31750">
        <w:t>have been</w:t>
      </w:r>
      <w:r w:rsidR="00230294">
        <w:t xml:space="preserve"> used </w:t>
      </w:r>
      <w:r w:rsidR="00804D14">
        <w:t xml:space="preserve">too much </w:t>
      </w:r>
      <w:r w:rsidR="00230294">
        <w:t>(</w:t>
      </w:r>
      <w:r w:rsidR="00804D14">
        <w:t>by some departments)</w:t>
      </w:r>
      <w:r w:rsidR="00100AA2">
        <w:t xml:space="preserve"> and that</w:t>
      </w:r>
      <w:r w:rsidR="00804D14">
        <w:t xml:space="preserve"> policy capab</w:t>
      </w:r>
      <w:r w:rsidR="00C31750">
        <w:t xml:space="preserve">ility has continued to </w:t>
      </w:r>
      <w:r w:rsidR="0006542C">
        <w:t xml:space="preserve">be </w:t>
      </w:r>
      <w:r w:rsidR="00A23252">
        <w:t>constrain</w:t>
      </w:r>
      <w:r w:rsidR="0044088E">
        <w:t>ed</w:t>
      </w:r>
      <w:r w:rsidR="00C31750">
        <w:t>. Some m</w:t>
      </w:r>
      <w:r w:rsidR="00100AA2">
        <w:t>inisters do not take kindly to policy leadership by departments.</w:t>
      </w:r>
    </w:p>
    <w:p w14:paraId="3C8AE949" w14:textId="5BBC0AC8" w:rsidR="00990E2A" w:rsidRDefault="00990E2A" w:rsidP="00B55C5C">
      <w:pPr>
        <w:pStyle w:val="Normal18Jin0"/>
        <w:spacing w:line="240" w:lineRule="auto"/>
        <w:jc w:val="left"/>
      </w:pPr>
      <w:r>
        <w:t>New Zealand and the United Kingdom have give</w:t>
      </w:r>
      <w:r w:rsidR="00C31750">
        <w:t xml:space="preserve">n the most attention to </w:t>
      </w:r>
      <w:r>
        <w:t xml:space="preserve">improvements to the policy function through mounting programs for developing the policy profession. </w:t>
      </w:r>
      <w:r w:rsidR="00C31750">
        <w:t xml:space="preserve">This investment in centrally-led </w:t>
      </w:r>
      <w:r w:rsidR="0010117A">
        <w:t xml:space="preserve">professional networks </w:t>
      </w:r>
      <w:r w:rsidR="00C31750">
        <w:t xml:space="preserve">has had some impact in raising consciousness, enhancing skills and professionalisation in the policy field. The question remains as to the extent of the impact on capability and policy advice. </w:t>
      </w:r>
      <w:r>
        <w:t xml:space="preserve">In contrast, Australia has no </w:t>
      </w:r>
      <w:r w:rsidR="00814D84">
        <w:t xml:space="preserve">comparable </w:t>
      </w:r>
      <w:r>
        <w:t>generic networks and no apparent consc</w:t>
      </w:r>
      <w:r w:rsidR="00814D84">
        <w:t>iousness raising</w:t>
      </w:r>
      <w:r>
        <w:t>.</w:t>
      </w:r>
    </w:p>
    <w:p w14:paraId="734E101C" w14:textId="633B73E1" w:rsidR="00C714AE" w:rsidRDefault="00C714AE" w:rsidP="00B55C5C"/>
    <w:p w14:paraId="7AD95F8B" w14:textId="07F1A4F6" w:rsidR="0029477E" w:rsidRPr="00765161" w:rsidRDefault="0029477E" w:rsidP="00BC50F3">
      <w:pPr>
        <w:spacing w:line="276" w:lineRule="auto"/>
        <w:rPr>
          <w:i/>
        </w:rPr>
      </w:pPr>
      <w:r w:rsidRPr="00765161">
        <w:rPr>
          <w:i/>
        </w:rPr>
        <w:t>References</w:t>
      </w:r>
    </w:p>
    <w:p w14:paraId="5889EB0D" w14:textId="77777777" w:rsidR="0029477E" w:rsidRPr="009507CE" w:rsidRDefault="0029477E" w:rsidP="00765161">
      <w:pPr>
        <w:pStyle w:val="References"/>
        <w:spacing w:line="240" w:lineRule="auto"/>
      </w:pPr>
      <w:r w:rsidRPr="009507CE">
        <w:t>AGRAGA/Advisory Group on the Reform of Australian Government Administration (2010)</w:t>
      </w:r>
      <w:r>
        <w:t>,</w:t>
      </w:r>
      <w:r w:rsidRPr="009507CE">
        <w:t xml:space="preserve"> </w:t>
      </w:r>
      <w:r w:rsidRPr="009507CE">
        <w:rPr>
          <w:i/>
        </w:rPr>
        <w:t>Ahead of the Game: Blueprint for the Reform of Australian Government Administration</w:t>
      </w:r>
      <w:r w:rsidRPr="009507CE">
        <w:t>, Commonwealth of Australia, Canberra.</w:t>
      </w:r>
    </w:p>
    <w:p w14:paraId="01C1B6AD" w14:textId="77777777" w:rsidR="00F51CBB" w:rsidRPr="00E749BF" w:rsidRDefault="00F51CBB" w:rsidP="00765161">
      <w:pPr>
        <w:pStyle w:val="References"/>
        <w:spacing w:line="240" w:lineRule="auto"/>
      </w:pPr>
      <w:r w:rsidRPr="00E749BF">
        <w:t>APSC/Australian Public Service Commission (2013)</w:t>
      </w:r>
      <w:r>
        <w:t>,</w:t>
      </w:r>
      <w:r w:rsidRPr="00E749BF">
        <w:t xml:space="preserve"> </w:t>
      </w:r>
      <w:r w:rsidRPr="00E749BF">
        <w:rPr>
          <w:i/>
        </w:rPr>
        <w:t>State of the Service Report 2012–13</w:t>
      </w:r>
      <w:r w:rsidRPr="00E749BF">
        <w:t>, APSC, Canberra.</w:t>
      </w:r>
    </w:p>
    <w:p w14:paraId="1198B245" w14:textId="77777777" w:rsidR="00BC50F3" w:rsidRDefault="00BC50F3" w:rsidP="00765161">
      <w:pPr>
        <w:pStyle w:val="References"/>
        <w:spacing w:line="240" w:lineRule="auto"/>
      </w:pPr>
      <w:r w:rsidRPr="00E749BF">
        <w:t>APSC/Australian</w:t>
      </w:r>
      <w:r>
        <w:t xml:space="preserve"> Public Service Commission (2014</w:t>
      </w:r>
      <w:r w:rsidRPr="00E749BF">
        <w:t>)</w:t>
      </w:r>
      <w:r>
        <w:t>,</w:t>
      </w:r>
      <w:r w:rsidRPr="00E749BF">
        <w:t xml:space="preserve"> </w:t>
      </w:r>
      <w:r>
        <w:rPr>
          <w:i/>
        </w:rPr>
        <w:t>State of the Service Report 2013</w:t>
      </w:r>
      <w:r w:rsidRPr="00E749BF">
        <w:rPr>
          <w:i/>
        </w:rPr>
        <w:t>–1</w:t>
      </w:r>
      <w:r>
        <w:rPr>
          <w:i/>
        </w:rPr>
        <w:t>4</w:t>
      </w:r>
      <w:r w:rsidRPr="00E749BF">
        <w:t>, APSC, Canberra.</w:t>
      </w:r>
    </w:p>
    <w:p w14:paraId="27795DB5" w14:textId="5F3F392B" w:rsidR="004E6137" w:rsidRDefault="004E6137" w:rsidP="00765161">
      <w:pPr>
        <w:pStyle w:val="References"/>
        <w:spacing w:line="240" w:lineRule="auto"/>
      </w:pPr>
      <w:r>
        <w:t xml:space="preserve">Belcher, B. (2015), </w:t>
      </w:r>
      <w:r w:rsidRPr="00F56B87">
        <w:rPr>
          <w:i/>
        </w:rPr>
        <w:t>Independent Review of Whole-of-Government Internal Regulation: Report to the Secreta</w:t>
      </w:r>
      <w:r>
        <w:rPr>
          <w:i/>
        </w:rPr>
        <w:t>r</w:t>
      </w:r>
      <w:r w:rsidRPr="00F56B87">
        <w:rPr>
          <w:i/>
        </w:rPr>
        <w:t>ies Committee on Transformation</w:t>
      </w:r>
      <w:r>
        <w:t>, Volume 1 Recommendations, Canberra.</w:t>
      </w:r>
    </w:p>
    <w:p w14:paraId="21A37695" w14:textId="4FCF89C4" w:rsidR="000D0B89" w:rsidRPr="00897CC1" w:rsidRDefault="000D0B89" w:rsidP="00765161">
      <w:pPr>
        <w:pStyle w:val="References"/>
        <w:spacing w:line="240" w:lineRule="auto"/>
      </w:pPr>
      <w:r w:rsidRPr="00E749BF">
        <w:t>DFD/Department of Finance and Deregulation (2012)</w:t>
      </w:r>
      <w:r>
        <w:t>,</w:t>
      </w:r>
      <w:r w:rsidRPr="00E749BF">
        <w:t xml:space="preserve"> </w:t>
      </w:r>
      <w:r w:rsidRPr="00E749BF">
        <w:rPr>
          <w:i/>
        </w:rPr>
        <w:t>Sharpening the Focus: A Framework for Improving Commonwealth Performance</w:t>
      </w:r>
      <w:r w:rsidRPr="00E749BF">
        <w:t>, Commo</w:t>
      </w:r>
      <w:r>
        <w:t>nwealth of Australia, Canberra.</w:t>
      </w:r>
    </w:p>
    <w:p w14:paraId="5C523361" w14:textId="3B5F136E" w:rsidR="0029477E" w:rsidRDefault="00A81991" w:rsidP="00765161">
      <w:pPr>
        <w:pStyle w:val="References"/>
        <w:spacing w:line="240" w:lineRule="auto"/>
      </w:pPr>
      <w:r w:rsidRPr="009507CE">
        <w:t xml:space="preserve">Halligan, J. (2013), ‘The Evolution of Public Service Bargains of Australian Senior Public Servants,’ </w:t>
      </w:r>
      <w:r w:rsidRPr="009507CE">
        <w:rPr>
          <w:i/>
        </w:rPr>
        <w:t>International Review of Administrative Sciences</w:t>
      </w:r>
      <w:r w:rsidRPr="009507CE">
        <w:t>, 79 (1), 111-129.</w:t>
      </w:r>
    </w:p>
    <w:p w14:paraId="55170480" w14:textId="77777777" w:rsidR="002E0F30" w:rsidRPr="009507CE" w:rsidRDefault="002E0F30" w:rsidP="00765161">
      <w:pPr>
        <w:pStyle w:val="References"/>
        <w:spacing w:line="240" w:lineRule="auto"/>
        <w:rPr>
          <w:rFonts w:eastAsia="Times New Roman"/>
          <w:color w:val="222222"/>
          <w:lang w:eastAsia="en-AU"/>
        </w:rPr>
      </w:pPr>
      <w:r w:rsidRPr="009507CE">
        <w:t xml:space="preserve">Halligan, J. (2016), Policy Capability in Australia, Greater China Australia Dialogue on Public Administration 2016 Workshop, </w:t>
      </w:r>
      <w:r w:rsidRPr="009507CE">
        <w:rPr>
          <w:rFonts w:eastAsia="Times New Roman"/>
          <w:color w:val="222222"/>
          <w:lang w:eastAsia="en-AU"/>
        </w:rPr>
        <w:t>Centre for Chinese Public Administration Research</w:t>
      </w:r>
      <w:r w:rsidRPr="009507CE">
        <w:t xml:space="preserve">, </w:t>
      </w:r>
      <w:r w:rsidRPr="009507CE">
        <w:rPr>
          <w:rFonts w:eastAsia="Times New Roman"/>
          <w:color w:val="222222"/>
          <w:lang w:eastAsia="en-AU"/>
        </w:rPr>
        <w:t>Sun Yat-sen University, Guangzhou, 30-31 October.</w:t>
      </w:r>
    </w:p>
    <w:p w14:paraId="6F1495AA" w14:textId="77777777" w:rsidR="002E0F30" w:rsidRPr="009507CE" w:rsidRDefault="002E0F30" w:rsidP="00765161">
      <w:pPr>
        <w:pStyle w:val="References"/>
        <w:spacing w:line="240" w:lineRule="auto"/>
      </w:pPr>
      <w:r w:rsidRPr="009507CE">
        <w:t>Halligan, J. (2018), Reforming Public Management and Governance: Impact &amp; Lessons from Anglophone Countries, Edward Elgar, Cheltenham, forthcoming.</w:t>
      </w:r>
    </w:p>
    <w:p w14:paraId="5665DEF1" w14:textId="77777777" w:rsidR="005E08F3" w:rsidRPr="00E749BF" w:rsidRDefault="005E08F3" w:rsidP="00765161">
      <w:pPr>
        <w:pStyle w:val="References"/>
        <w:spacing w:line="240" w:lineRule="auto"/>
      </w:pPr>
      <w:r w:rsidRPr="00E749BF">
        <w:t>Halligan, J. and Power, J. (1992)</w:t>
      </w:r>
      <w:r>
        <w:t>,</w:t>
      </w:r>
      <w:r w:rsidRPr="00E749BF">
        <w:t xml:space="preserve"> </w:t>
      </w:r>
      <w:r w:rsidRPr="00E749BF">
        <w:rPr>
          <w:i/>
        </w:rPr>
        <w:t>Political Management in the 1990s</w:t>
      </w:r>
      <w:r w:rsidRPr="00E749BF">
        <w:t>, Oxford University Press, Melbourne.</w:t>
      </w:r>
    </w:p>
    <w:p w14:paraId="21C3A7CA" w14:textId="5AC890FD" w:rsidR="00E00274" w:rsidRDefault="00E00274" w:rsidP="00765161">
      <w:pPr>
        <w:pStyle w:val="References"/>
        <w:spacing w:line="240" w:lineRule="auto"/>
      </w:pPr>
      <w:r>
        <w:t xml:space="preserve">Independent Review </w:t>
      </w:r>
      <w:r w:rsidR="007B7BBE" w:rsidRPr="007B7BBE">
        <w:t xml:space="preserve">of the </w:t>
      </w:r>
      <w:r w:rsidR="007B7BBE" w:rsidRPr="007B7BBE">
        <w:rPr>
          <w:i/>
        </w:rPr>
        <w:t>PGPA Act 2013</w:t>
      </w:r>
      <w:r w:rsidR="007B7BBE" w:rsidRPr="007B7BBE">
        <w:t xml:space="preserve"> and Rule</w:t>
      </w:r>
      <w:r w:rsidR="007B7BBE">
        <w:t xml:space="preserve"> </w:t>
      </w:r>
      <w:r>
        <w:t xml:space="preserve">(2018), </w:t>
      </w:r>
      <w:r w:rsidRPr="007B7BBE">
        <w:rPr>
          <w:i/>
        </w:rPr>
        <w:t>Consultation Draft</w:t>
      </w:r>
      <w:r>
        <w:t>, Department of Finance, Canberra.</w:t>
      </w:r>
    </w:p>
    <w:p w14:paraId="785D56A6" w14:textId="77777777" w:rsidR="00885E52" w:rsidRPr="00E749BF" w:rsidRDefault="00885E52" w:rsidP="00BC36B5">
      <w:pPr>
        <w:pStyle w:val="References"/>
        <w:spacing w:line="240" w:lineRule="auto"/>
      </w:pPr>
      <w:r w:rsidRPr="00E749BF">
        <w:t>Shergold, P. (2003)</w:t>
      </w:r>
      <w:r>
        <w:t>,</w:t>
      </w:r>
      <w:r w:rsidRPr="00E749BF">
        <w:t xml:space="preserve"> A Foundation of Ruined Hopes? Address to Public Service Commission, Canberra, 15 October.</w:t>
      </w:r>
    </w:p>
    <w:p w14:paraId="7C4697D2" w14:textId="0335541C" w:rsidR="00171955" w:rsidRPr="00E749BF" w:rsidRDefault="00171955" w:rsidP="00BC36B5">
      <w:pPr>
        <w:pStyle w:val="References"/>
        <w:spacing w:line="240" w:lineRule="auto"/>
      </w:pPr>
      <w:r w:rsidRPr="00E749BF">
        <w:t>Shergold, P. (2013)</w:t>
      </w:r>
      <w:r>
        <w:t>,</w:t>
      </w:r>
      <w:r w:rsidRPr="00E749BF">
        <w:t xml:space="preserve"> </w:t>
      </w:r>
      <w:r>
        <w:t>‘My Hopes for a Public Service for the F</w:t>
      </w:r>
      <w:r w:rsidRPr="00E749BF">
        <w:t xml:space="preserve">uture’, </w:t>
      </w:r>
      <w:r w:rsidRPr="00E749BF">
        <w:rPr>
          <w:i/>
        </w:rPr>
        <w:t>Australian Journal of Public Administration</w:t>
      </w:r>
      <w:r w:rsidRPr="00E749BF">
        <w:t xml:space="preserve">, </w:t>
      </w:r>
      <w:r>
        <w:t xml:space="preserve">72(1), </w:t>
      </w:r>
      <w:r w:rsidRPr="00E749BF">
        <w:t>7-13.</w:t>
      </w:r>
    </w:p>
    <w:p w14:paraId="02536A05" w14:textId="77777777" w:rsidR="002E0F30" w:rsidRDefault="002E0F30" w:rsidP="00B55C5C"/>
    <w:sectPr w:rsidR="002E0F30" w:rsidSect="00C714AE">
      <w:headerReference w:type="even" r:id="rId7"/>
      <w:headerReference w:type="default" r:id="rId8"/>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8650" w14:textId="77777777" w:rsidR="006B0150" w:rsidRDefault="006B0150" w:rsidP="00C714AE">
      <w:r>
        <w:separator/>
      </w:r>
    </w:p>
  </w:endnote>
  <w:endnote w:type="continuationSeparator" w:id="0">
    <w:p w14:paraId="6B4000F6" w14:textId="77777777" w:rsidR="006B0150" w:rsidRDefault="006B0150" w:rsidP="00C7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3ECE" w14:textId="77777777" w:rsidR="006B0150" w:rsidRDefault="006B0150" w:rsidP="00C714AE">
      <w:r>
        <w:separator/>
      </w:r>
    </w:p>
  </w:footnote>
  <w:footnote w:type="continuationSeparator" w:id="0">
    <w:p w14:paraId="59B8D50F" w14:textId="77777777" w:rsidR="006B0150" w:rsidRDefault="006B0150" w:rsidP="00C7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130610"/>
      <w:docPartObj>
        <w:docPartGallery w:val="Page Numbers (Top of Page)"/>
        <w:docPartUnique/>
      </w:docPartObj>
    </w:sdtPr>
    <w:sdtEndPr>
      <w:rPr>
        <w:rStyle w:val="PageNumber"/>
      </w:rPr>
    </w:sdtEndPr>
    <w:sdtContent>
      <w:p w14:paraId="39C0D606" w14:textId="586B6913" w:rsidR="00C714AE" w:rsidRDefault="00C714AE" w:rsidP="004D75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782C6" w14:textId="77777777" w:rsidR="00C714AE" w:rsidRDefault="00C714AE" w:rsidP="00C714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446081"/>
      <w:docPartObj>
        <w:docPartGallery w:val="Page Numbers (Top of Page)"/>
        <w:docPartUnique/>
      </w:docPartObj>
    </w:sdtPr>
    <w:sdtEndPr>
      <w:rPr>
        <w:rStyle w:val="PageNumber"/>
      </w:rPr>
    </w:sdtEndPr>
    <w:sdtContent>
      <w:p w14:paraId="7478097E" w14:textId="769A88BC" w:rsidR="00C714AE" w:rsidRDefault="00C714AE" w:rsidP="004D75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202D56" w14:textId="77777777" w:rsidR="00C714AE" w:rsidRDefault="00C714AE" w:rsidP="00C714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19B5"/>
    <w:multiLevelType w:val="hybridMultilevel"/>
    <w:tmpl w:val="7E4C9CD6"/>
    <w:lvl w:ilvl="0" w:tplc="472CCD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76"/>
    <w:rsid w:val="00012C0C"/>
    <w:rsid w:val="00023F80"/>
    <w:rsid w:val="00040F39"/>
    <w:rsid w:val="0006542C"/>
    <w:rsid w:val="00095694"/>
    <w:rsid w:val="000A5274"/>
    <w:rsid w:val="000B07F5"/>
    <w:rsid w:val="000C6513"/>
    <w:rsid w:val="000C754E"/>
    <w:rsid w:val="000C7E7C"/>
    <w:rsid w:val="000D0B89"/>
    <w:rsid w:val="000D3A07"/>
    <w:rsid w:val="000F3EFA"/>
    <w:rsid w:val="000F6B4A"/>
    <w:rsid w:val="00100AA2"/>
    <w:rsid w:val="0010117A"/>
    <w:rsid w:val="0010430E"/>
    <w:rsid w:val="001053FB"/>
    <w:rsid w:val="00107343"/>
    <w:rsid w:val="00113527"/>
    <w:rsid w:val="001344D4"/>
    <w:rsid w:val="00141EB5"/>
    <w:rsid w:val="00164F26"/>
    <w:rsid w:val="00171955"/>
    <w:rsid w:val="001819EC"/>
    <w:rsid w:val="00184816"/>
    <w:rsid w:val="00185324"/>
    <w:rsid w:val="00196F17"/>
    <w:rsid w:val="00197677"/>
    <w:rsid w:val="00197F13"/>
    <w:rsid w:val="001A026A"/>
    <w:rsid w:val="001A049D"/>
    <w:rsid w:val="001B3261"/>
    <w:rsid w:val="001C75B1"/>
    <w:rsid w:val="001E021D"/>
    <w:rsid w:val="001E320A"/>
    <w:rsid w:val="001E4FBF"/>
    <w:rsid w:val="001F033A"/>
    <w:rsid w:val="001F65A4"/>
    <w:rsid w:val="0020168D"/>
    <w:rsid w:val="00201E15"/>
    <w:rsid w:val="002249C3"/>
    <w:rsid w:val="002276D6"/>
    <w:rsid w:val="00230294"/>
    <w:rsid w:val="002317A5"/>
    <w:rsid w:val="00234C42"/>
    <w:rsid w:val="00262596"/>
    <w:rsid w:val="0026716E"/>
    <w:rsid w:val="00292218"/>
    <w:rsid w:val="00294166"/>
    <w:rsid w:val="00294414"/>
    <w:rsid w:val="0029477E"/>
    <w:rsid w:val="002C1CE4"/>
    <w:rsid w:val="002C7162"/>
    <w:rsid w:val="002E0F30"/>
    <w:rsid w:val="002E218E"/>
    <w:rsid w:val="002E5BE8"/>
    <w:rsid w:val="002E7B46"/>
    <w:rsid w:val="00300213"/>
    <w:rsid w:val="00305BC5"/>
    <w:rsid w:val="0031747A"/>
    <w:rsid w:val="00336F79"/>
    <w:rsid w:val="00344B88"/>
    <w:rsid w:val="00350681"/>
    <w:rsid w:val="00357E90"/>
    <w:rsid w:val="00362D7D"/>
    <w:rsid w:val="00363898"/>
    <w:rsid w:val="00370DE0"/>
    <w:rsid w:val="00374076"/>
    <w:rsid w:val="00375676"/>
    <w:rsid w:val="00376BFB"/>
    <w:rsid w:val="0038793C"/>
    <w:rsid w:val="0038795D"/>
    <w:rsid w:val="00394348"/>
    <w:rsid w:val="003A5D92"/>
    <w:rsid w:val="003C1F99"/>
    <w:rsid w:val="003D5D49"/>
    <w:rsid w:val="003E3C53"/>
    <w:rsid w:val="003F404A"/>
    <w:rsid w:val="004047A0"/>
    <w:rsid w:val="004263DC"/>
    <w:rsid w:val="00427102"/>
    <w:rsid w:val="0044088E"/>
    <w:rsid w:val="00460D1A"/>
    <w:rsid w:val="004618EE"/>
    <w:rsid w:val="004B1A20"/>
    <w:rsid w:val="004C6D17"/>
    <w:rsid w:val="004E46C2"/>
    <w:rsid w:val="004E6137"/>
    <w:rsid w:val="004F19A9"/>
    <w:rsid w:val="00503C31"/>
    <w:rsid w:val="00506C3B"/>
    <w:rsid w:val="0051028D"/>
    <w:rsid w:val="005227B9"/>
    <w:rsid w:val="005230A9"/>
    <w:rsid w:val="0053170C"/>
    <w:rsid w:val="005434C1"/>
    <w:rsid w:val="005456C0"/>
    <w:rsid w:val="00553D89"/>
    <w:rsid w:val="005549AD"/>
    <w:rsid w:val="00563A13"/>
    <w:rsid w:val="00570254"/>
    <w:rsid w:val="0059534F"/>
    <w:rsid w:val="005B2139"/>
    <w:rsid w:val="005B60A3"/>
    <w:rsid w:val="005D5664"/>
    <w:rsid w:val="005E08F3"/>
    <w:rsid w:val="005E7C3E"/>
    <w:rsid w:val="005F4F04"/>
    <w:rsid w:val="005F6B5B"/>
    <w:rsid w:val="00602BA0"/>
    <w:rsid w:val="00622ABF"/>
    <w:rsid w:val="00624FB7"/>
    <w:rsid w:val="006317C3"/>
    <w:rsid w:val="00637654"/>
    <w:rsid w:val="00644D32"/>
    <w:rsid w:val="00652454"/>
    <w:rsid w:val="00685E91"/>
    <w:rsid w:val="006867D1"/>
    <w:rsid w:val="00697A08"/>
    <w:rsid w:val="006A5261"/>
    <w:rsid w:val="006A67F5"/>
    <w:rsid w:val="006B0150"/>
    <w:rsid w:val="006B36D1"/>
    <w:rsid w:val="006B3C81"/>
    <w:rsid w:val="006D45D3"/>
    <w:rsid w:val="006E16D2"/>
    <w:rsid w:val="006E4710"/>
    <w:rsid w:val="006E5180"/>
    <w:rsid w:val="006E6EF7"/>
    <w:rsid w:val="006F4788"/>
    <w:rsid w:val="00705C33"/>
    <w:rsid w:val="007140A7"/>
    <w:rsid w:val="007250AE"/>
    <w:rsid w:val="00732305"/>
    <w:rsid w:val="007326C5"/>
    <w:rsid w:val="00740445"/>
    <w:rsid w:val="00742F03"/>
    <w:rsid w:val="007479D1"/>
    <w:rsid w:val="00765161"/>
    <w:rsid w:val="007668BE"/>
    <w:rsid w:val="00766B0E"/>
    <w:rsid w:val="007A414A"/>
    <w:rsid w:val="007B601D"/>
    <w:rsid w:val="007B733D"/>
    <w:rsid w:val="007B7BBE"/>
    <w:rsid w:val="007D15A7"/>
    <w:rsid w:val="007D4949"/>
    <w:rsid w:val="007F328E"/>
    <w:rsid w:val="00804D14"/>
    <w:rsid w:val="00814D84"/>
    <w:rsid w:val="0081559E"/>
    <w:rsid w:val="008250A0"/>
    <w:rsid w:val="008334EF"/>
    <w:rsid w:val="0083538A"/>
    <w:rsid w:val="00841A44"/>
    <w:rsid w:val="00845CD2"/>
    <w:rsid w:val="008568C3"/>
    <w:rsid w:val="00860BF0"/>
    <w:rsid w:val="008626D1"/>
    <w:rsid w:val="00885E25"/>
    <w:rsid w:val="00885E52"/>
    <w:rsid w:val="00894D17"/>
    <w:rsid w:val="00894E16"/>
    <w:rsid w:val="008A41E1"/>
    <w:rsid w:val="008B6C63"/>
    <w:rsid w:val="008F475B"/>
    <w:rsid w:val="009055C6"/>
    <w:rsid w:val="00910AFF"/>
    <w:rsid w:val="00911D76"/>
    <w:rsid w:val="0092414F"/>
    <w:rsid w:val="009321D1"/>
    <w:rsid w:val="0094771B"/>
    <w:rsid w:val="00954191"/>
    <w:rsid w:val="00955B58"/>
    <w:rsid w:val="009576BC"/>
    <w:rsid w:val="00962B80"/>
    <w:rsid w:val="009658CA"/>
    <w:rsid w:val="00965CB1"/>
    <w:rsid w:val="0096628E"/>
    <w:rsid w:val="00986253"/>
    <w:rsid w:val="00990E2A"/>
    <w:rsid w:val="0099389A"/>
    <w:rsid w:val="00997F2E"/>
    <w:rsid w:val="009A154C"/>
    <w:rsid w:val="009B6264"/>
    <w:rsid w:val="009C163B"/>
    <w:rsid w:val="009D4EFA"/>
    <w:rsid w:val="009E0C34"/>
    <w:rsid w:val="009E6122"/>
    <w:rsid w:val="00A03F4F"/>
    <w:rsid w:val="00A0638E"/>
    <w:rsid w:val="00A13634"/>
    <w:rsid w:val="00A1459D"/>
    <w:rsid w:val="00A15FF5"/>
    <w:rsid w:val="00A213D0"/>
    <w:rsid w:val="00A23252"/>
    <w:rsid w:val="00A23523"/>
    <w:rsid w:val="00A3165C"/>
    <w:rsid w:val="00A435B1"/>
    <w:rsid w:val="00A619A0"/>
    <w:rsid w:val="00A734EF"/>
    <w:rsid w:val="00A75C7D"/>
    <w:rsid w:val="00A767FC"/>
    <w:rsid w:val="00A81991"/>
    <w:rsid w:val="00A90FC1"/>
    <w:rsid w:val="00AA5886"/>
    <w:rsid w:val="00AA68D3"/>
    <w:rsid w:val="00AB0373"/>
    <w:rsid w:val="00AB10C7"/>
    <w:rsid w:val="00AB58E3"/>
    <w:rsid w:val="00AB7E17"/>
    <w:rsid w:val="00AE192B"/>
    <w:rsid w:val="00B01E1F"/>
    <w:rsid w:val="00B067ED"/>
    <w:rsid w:val="00B2035A"/>
    <w:rsid w:val="00B23307"/>
    <w:rsid w:val="00B26852"/>
    <w:rsid w:val="00B3609C"/>
    <w:rsid w:val="00B4109C"/>
    <w:rsid w:val="00B55C5C"/>
    <w:rsid w:val="00B55E79"/>
    <w:rsid w:val="00B571B2"/>
    <w:rsid w:val="00BB4C29"/>
    <w:rsid w:val="00BB7085"/>
    <w:rsid w:val="00BC2E19"/>
    <w:rsid w:val="00BC36B5"/>
    <w:rsid w:val="00BC50F3"/>
    <w:rsid w:val="00BC53C5"/>
    <w:rsid w:val="00C06C3C"/>
    <w:rsid w:val="00C13915"/>
    <w:rsid w:val="00C16031"/>
    <w:rsid w:val="00C17F44"/>
    <w:rsid w:val="00C31750"/>
    <w:rsid w:val="00C34D6B"/>
    <w:rsid w:val="00C525B2"/>
    <w:rsid w:val="00C557CA"/>
    <w:rsid w:val="00C714AE"/>
    <w:rsid w:val="00C71632"/>
    <w:rsid w:val="00C751BF"/>
    <w:rsid w:val="00C761AE"/>
    <w:rsid w:val="00C76410"/>
    <w:rsid w:val="00C8323B"/>
    <w:rsid w:val="00C8588F"/>
    <w:rsid w:val="00C8684E"/>
    <w:rsid w:val="00C95E0C"/>
    <w:rsid w:val="00CA0184"/>
    <w:rsid w:val="00CA3118"/>
    <w:rsid w:val="00CA4747"/>
    <w:rsid w:val="00CA4C86"/>
    <w:rsid w:val="00CC14D5"/>
    <w:rsid w:val="00CC21BD"/>
    <w:rsid w:val="00CD69EE"/>
    <w:rsid w:val="00CD6FA9"/>
    <w:rsid w:val="00CF24B3"/>
    <w:rsid w:val="00D00996"/>
    <w:rsid w:val="00D14CF6"/>
    <w:rsid w:val="00D4128B"/>
    <w:rsid w:val="00D56291"/>
    <w:rsid w:val="00D5776A"/>
    <w:rsid w:val="00D703B9"/>
    <w:rsid w:val="00D71612"/>
    <w:rsid w:val="00D754E9"/>
    <w:rsid w:val="00DA1909"/>
    <w:rsid w:val="00DA2E6E"/>
    <w:rsid w:val="00DA718F"/>
    <w:rsid w:val="00DB6A55"/>
    <w:rsid w:val="00DC23C6"/>
    <w:rsid w:val="00DC4311"/>
    <w:rsid w:val="00DF57C4"/>
    <w:rsid w:val="00DF5CD4"/>
    <w:rsid w:val="00DF7D05"/>
    <w:rsid w:val="00E00274"/>
    <w:rsid w:val="00E0281B"/>
    <w:rsid w:val="00E063CA"/>
    <w:rsid w:val="00E151BA"/>
    <w:rsid w:val="00E2110C"/>
    <w:rsid w:val="00E23573"/>
    <w:rsid w:val="00E337F6"/>
    <w:rsid w:val="00E400FC"/>
    <w:rsid w:val="00E5241C"/>
    <w:rsid w:val="00E61EEA"/>
    <w:rsid w:val="00E7214D"/>
    <w:rsid w:val="00E77495"/>
    <w:rsid w:val="00E82991"/>
    <w:rsid w:val="00E94387"/>
    <w:rsid w:val="00EA4FC9"/>
    <w:rsid w:val="00EA54A3"/>
    <w:rsid w:val="00EA5C7A"/>
    <w:rsid w:val="00EC124F"/>
    <w:rsid w:val="00EC36E2"/>
    <w:rsid w:val="00EC3C8C"/>
    <w:rsid w:val="00EC5531"/>
    <w:rsid w:val="00ED5269"/>
    <w:rsid w:val="00EE01B6"/>
    <w:rsid w:val="00EE10FC"/>
    <w:rsid w:val="00EF27B3"/>
    <w:rsid w:val="00EF469F"/>
    <w:rsid w:val="00F02A3E"/>
    <w:rsid w:val="00F13C65"/>
    <w:rsid w:val="00F20DBB"/>
    <w:rsid w:val="00F266F0"/>
    <w:rsid w:val="00F3048C"/>
    <w:rsid w:val="00F42DFF"/>
    <w:rsid w:val="00F51CBB"/>
    <w:rsid w:val="00F5533C"/>
    <w:rsid w:val="00F644BF"/>
    <w:rsid w:val="00F648BB"/>
    <w:rsid w:val="00F6705D"/>
    <w:rsid w:val="00F730D8"/>
    <w:rsid w:val="00F84BBD"/>
    <w:rsid w:val="00FA2384"/>
    <w:rsid w:val="00FC7F50"/>
    <w:rsid w:val="00FD09FF"/>
    <w:rsid w:val="00FD6777"/>
    <w:rsid w:val="00FE0768"/>
    <w:rsid w:val="00FE2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6D7882"/>
  <w14:defaultImageDpi w14:val="32767"/>
  <w15:chartTrackingRefBased/>
  <w15:docId w15:val="{8DD96C81-ACDD-9146-8BAD-B352916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5B2"/>
    <w:rPr>
      <w:rFonts w:ascii="Times New Roman" w:hAnsi="Times New Roman"/>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autoRedefine/>
    <w:qFormat/>
    <w:rsid w:val="00BC50F3"/>
    <w:pPr>
      <w:spacing w:line="276" w:lineRule="auto"/>
      <w:ind w:left="284" w:hanging="284"/>
      <w:jc w:val="both"/>
    </w:pPr>
    <w:rPr>
      <w:rFonts w:eastAsia="Cambria" w:cs="Times New Roman"/>
      <w:color w:val="000000"/>
    </w:rPr>
  </w:style>
  <w:style w:type="paragraph" w:customStyle="1" w:styleId="Normal18Jin">
    <w:name w:val="Normal18Jin"/>
    <w:basedOn w:val="Normal"/>
    <w:autoRedefine/>
    <w:qFormat/>
    <w:rsid w:val="00C13915"/>
    <w:pPr>
      <w:spacing w:line="360" w:lineRule="auto"/>
      <w:jc w:val="both"/>
    </w:pPr>
    <w:rPr>
      <w:rFonts w:eastAsia="Times" w:cs="Times New Roman"/>
      <w:szCs w:val="20"/>
    </w:rPr>
  </w:style>
  <w:style w:type="paragraph" w:customStyle="1" w:styleId="Normal18J">
    <w:name w:val="Normal 18J"/>
    <w:basedOn w:val="Normal"/>
    <w:link w:val="Normal18JChar"/>
    <w:autoRedefine/>
    <w:qFormat/>
    <w:rsid w:val="000C7E7C"/>
    <w:rPr>
      <w:rFonts w:eastAsiaTheme="minorEastAsia"/>
      <w:i/>
    </w:rPr>
  </w:style>
  <w:style w:type="paragraph" w:styleId="ListParagraph">
    <w:name w:val="List Paragraph"/>
    <w:basedOn w:val="Normal"/>
    <w:uiPriority w:val="34"/>
    <w:qFormat/>
    <w:rsid w:val="00F5533C"/>
    <w:pPr>
      <w:ind w:left="720"/>
      <w:contextualSpacing/>
    </w:pPr>
  </w:style>
  <w:style w:type="paragraph" w:styleId="Header">
    <w:name w:val="header"/>
    <w:basedOn w:val="Normal"/>
    <w:link w:val="HeaderChar"/>
    <w:uiPriority w:val="99"/>
    <w:unhideWhenUsed/>
    <w:rsid w:val="00C714AE"/>
    <w:pPr>
      <w:tabs>
        <w:tab w:val="center" w:pos="4513"/>
        <w:tab w:val="right" w:pos="9026"/>
      </w:tabs>
    </w:pPr>
  </w:style>
  <w:style w:type="character" w:customStyle="1" w:styleId="HeaderChar">
    <w:name w:val="Header Char"/>
    <w:basedOn w:val="DefaultParagraphFont"/>
    <w:link w:val="Header"/>
    <w:uiPriority w:val="99"/>
    <w:rsid w:val="00C714AE"/>
    <w:rPr>
      <w:rFonts w:ascii="Times New Roman" w:hAnsi="Times New Roman"/>
      <w:lang w:val="en-AU"/>
    </w:rPr>
  </w:style>
  <w:style w:type="character" w:styleId="PageNumber">
    <w:name w:val="page number"/>
    <w:basedOn w:val="DefaultParagraphFont"/>
    <w:uiPriority w:val="99"/>
    <w:semiHidden/>
    <w:unhideWhenUsed/>
    <w:rsid w:val="00C714AE"/>
  </w:style>
  <w:style w:type="character" w:customStyle="1" w:styleId="Normal18JChar">
    <w:name w:val="Normal 18J Char"/>
    <w:link w:val="Normal18J"/>
    <w:locked/>
    <w:rsid w:val="000C7E7C"/>
    <w:rPr>
      <w:rFonts w:ascii="Times New Roman" w:eastAsiaTheme="minorEastAsia" w:hAnsi="Times New Roman"/>
      <w:i/>
      <w:lang w:val="en-AU"/>
    </w:rPr>
  </w:style>
  <w:style w:type="paragraph" w:customStyle="1" w:styleId="Normal18Jin0">
    <w:name w:val="Normal 18Jin"/>
    <w:basedOn w:val="Normal"/>
    <w:link w:val="Normal18JinChar"/>
    <w:qFormat/>
    <w:rsid w:val="009055C6"/>
    <w:pPr>
      <w:spacing w:line="360" w:lineRule="auto"/>
      <w:ind w:firstLine="397"/>
      <w:jc w:val="both"/>
    </w:pPr>
    <w:rPr>
      <w:rFonts w:eastAsia="Cambria" w:cs="Times New Roman"/>
      <w:szCs w:val="20"/>
    </w:rPr>
  </w:style>
  <w:style w:type="character" w:styleId="EndnoteReference">
    <w:name w:val="endnote reference"/>
    <w:basedOn w:val="DefaultParagraphFont"/>
    <w:uiPriority w:val="99"/>
    <w:rsid w:val="009055C6"/>
    <w:rPr>
      <w:vertAlign w:val="superscript"/>
    </w:rPr>
  </w:style>
  <w:style w:type="character" w:customStyle="1" w:styleId="Normal18JinChar">
    <w:name w:val="Normal 18Jin Char"/>
    <w:basedOn w:val="DefaultParagraphFont"/>
    <w:link w:val="Normal18Jin0"/>
    <w:rsid w:val="009055C6"/>
    <w:rPr>
      <w:rFonts w:ascii="Times New Roman" w:eastAsia="Cambria" w:hAnsi="Times New Roman" w:cs="Times New Roman"/>
      <w:szCs w:val="20"/>
      <w:lang w:val="en-AU"/>
    </w:rPr>
  </w:style>
  <w:style w:type="table" w:styleId="TableGrid">
    <w:name w:val="Table Grid"/>
    <w:basedOn w:val="TableNormal"/>
    <w:uiPriority w:val="39"/>
    <w:rsid w:val="00C557CA"/>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C0C"/>
    <w:rPr>
      <w:color w:val="0563C1" w:themeColor="hyperlink"/>
      <w:u w:val="single"/>
    </w:rPr>
  </w:style>
  <w:style w:type="paragraph" w:styleId="EndnoteText">
    <w:name w:val="endnote text"/>
    <w:basedOn w:val="Normal"/>
    <w:link w:val="EndnoteTextChar"/>
    <w:uiPriority w:val="99"/>
    <w:semiHidden/>
    <w:unhideWhenUsed/>
    <w:rsid w:val="00EE01B6"/>
    <w:rPr>
      <w:sz w:val="20"/>
      <w:szCs w:val="20"/>
    </w:rPr>
  </w:style>
  <w:style w:type="character" w:customStyle="1" w:styleId="EndnoteTextChar">
    <w:name w:val="Endnote Text Char"/>
    <w:basedOn w:val="DefaultParagraphFont"/>
    <w:link w:val="EndnoteText"/>
    <w:uiPriority w:val="99"/>
    <w:semiHidden/>
    <w:rsid w:val="00EE01B6"/>
    <w:rPr>
      <w:rFonts w:ascii="Times New Roman" w:hAnsi="Times New Roman"/>
      <w:sz w:val="20"/>
      <w:szCs w:val="20"/>
      <w:lang w:val="en-AU"/>
    </w:rPr>
  </w:style>
  <w:style w:type="paragraph" w:customStyle="1" w:styleId="Normal18JinD">
    <w:name w:val="Normal18JinD"/>
    <w:basedOn w:val="Normal"/>
    <w:autoRedefine/>
    <w:qFormat/>
    <w:rsid w:val="00B571B2"/>
    <w:pPr>
      <w:spacing w:line="480" w:lineRule="auto"/>
      <w:ind w:firstLine="397"/>
      <w:jc w:val="both"/>
    </w:pPr>
    <w:rPr>
      <w:rFonts w:eastAsia="Times" w:cs="Times New Roman"/>
      <w:szCs w:val="20"/>
    </w:rPr>
  </w:style>
  <w:style w:type="character" w:styleId="CommentReference">
    <w:name w:val="annotation reference"/>
    <w:basedOn w:val="DefaultParagraphFont"/>
    <w:uiPriority w:val="99"/>
    <w:semiHidden/>
    <w:unhideWhenUsed/>
    <w:rsid w:val="00C06C3C"/>
    <w:rPr>
      <w:sz w:val="16"/>
      <w:szCs w:val="16"/>
    </w:rPr>
  </w:style>
  <w:style w:type="paragraph" w:styleId="CommentText">
    <w:name w:val="annotation text"/>
    <w:basedOn w:val="Normal"/>
    <w:link w:val="CommentTextChar"/>
    <w:uiPriority w:val="99"/>
    <w:semiHidden/>
    <w:unhideWhenUsed/>
    <w:rsid w:val="00C06C3C"/>
    <w:rPr>
      <w:sz w:val="20"/>
      <w:szCs w:val="20"/>
    </w:rPr>
  </w:style>
  <w:style w:type="character" w:customStyle="1" w:styleId="CommentTextChar">
    <w:name w:val="Comment Text Char"/>
    <w:basedOn w:val="DefaultParagraphFont"/>
    <w:link w:val="CommentText"/>
    <w:uiPriority w:val="99"/>
    <w:semiHidden/>
    <w:rsid w:val="00C06C3C"/>
    <w:rPr>
      <w:rFonts w:ascii="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C06C3C"/>
    <w:rPr>
      <w:b/>
      <w:bCs/>
    </w:rPr>
  </w:style>
  <w:style w:type="character" w:customStyle="1" w:styleId="CommentSubjectChar">
    <w:name w:val="Comment Subject Char"/>
    <w:basedOn w:val="CommentTextChar"/>
    <w:link w:val="CommentSubject"/>
    <w:uiPriority w:val="99"/>
    <w:semiHidden/>
    <w:rsid w:val="00C06C3C"/>
    <w:rPr>
      <w:rFonts w:ascii="Times New Roman" w:hAnsi="Times New Roman"/>
      <w:b/>
      <w:bCs/>
      <w:sz w:val="20"/>
      <w:szCs w:val="20"/>
      <w:lang w:val="en-AU"/>
    </w:rPr>
  </w:style>
  <w:style w:type="paragraph" w:styleId="BalloonText">
    <w:name w:val="Balloon Text"/>
    <w:basedOn w:val="Normal"/>
    <w:link w:val="BalloonTextChar"/>
    <w:uiPriority w:val="99"/>
    <w:semiHidden/>
    <w:unhideWhenUsed/>
    <w:rsid w:val="00C06C3C"/>
    <w:rPr>
      <w:rFonts w:cs="Times New Roman"/>
      <w:sz w:val="18"/>
      <w:szCs w:val="18"/>
    </w:rPr>
  </w:style>
  <w:style w:type="character" w:customStyle="1" w:styleId="BalloonTextChar">
    <w:name w:val="Balloon Text Char"/>
    <w:basedOn w:val="DefaultParagraphFont"/>
    <w:link w:val="BalloonText"/>
    <w:uiPriority w:val="99"/>
    <w:semiHidden/>
    <w:rsid w:val="00C06C3C"/>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DOC19-444986</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AAE025B3-3B37-421A-A69D-FFF256D74A1F}"/>
</file>

<file path=customXml/itemProps2.xml><?xml version="1.0" encoding="utf-8"?>
<ds:datastoreItem xmlns:ds="http://schemas.openxmlformats.org/officeDocument/2006/customXml" ds:itemID="{20301384-BFD5-4107-B906-CD48DA59E008}"/>
</file>

<file path=customXml/itemProps3.xml><?xml version="1.0" encoding="utf-8"?>
<ds:datastoreItem xmlns:ds="http://schemas.openxmlformats.org/officeDocument/2006/customXml" ds:itemID="{3D102A1E-680F-4A1B-BF5C-FFBAFBF01418}"/>
</file>

<file path=docProps/app.xml><?xml version="1.0" encoding="utf-8"?>
<Properties xmlns="http://schemas.openxmlformats.org/officeDocument/2006/extended-properties" xmlns:vt="http://schemas.openxmlformats.org/officeDocument/2006/docPropsVTypes">
  <Template>Normal.dotm</Template>
  <TotalTime>486</TotalTime>
  <Pages>4</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Halligan</dc:creator>
  <cp:keywords/>
  <dc:description/>
  <cp:lastModifiedBy>John Halligan</cp:lastModifiedBy>
  <cp:revision>286</cp:revision>
  <dcterms:created xsi:type="dcterms:W3CDTF">2018-07-14T23:50:00Z</dcterms:created>
  <dcterms:modified xsi:type="dcterms:W3CDTF">2018-07-31T11:06:00Z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2019-12-09T15:39:37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