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1327" w14:textId="5E8D0DFA" w:rsidR="00654A8F" w:rsidRPr="004D2C0A" w:rsidRDefault="00CB7681" w:rsidP="004D2C0A">
      <w:pPr>
        <w:pStyle w:val="Title"/>
      </w:pPr>
      <w:bookmarkStart w:id="0" w:name="_GoBack"/>
      <w:bookmarkEnd w:id="0"/>
      <w:r w:rsidRPr="004D2C0A">
        <w:t xml:space="preserve">SUBMISSION TO </w:t>
      </w:r>
      <w:r w:rsidR="00A01C21" w:rsidRPr="004D2C0A">
        <w:t>THe Independent Review of the Australian public service</w:t>
      </w:r>
    </w:p>
    <w:p w14:paraId="59BBAD50" w14:textId="0E0CA353" w:rsidR="00E55F54" w:rsidRPr="00230A00" w:rsidRDefault="00A01C21" w:rsidP="00230A00">
      <w:pPr>
        <w:pStyle w:val="CoverDate"/>
      </w:pPr>
      <w:r w:rsidRPr="00230A00">
        <w:t>July 2018</w:t>
      </w:r>
    </w:p>
    <w:p w14:paraId="55148898" w14:textId="33FBFF80" w:rsidR="00A01C21" w:rsidRDefault="00A01C21" w:rsidP="00A01C21">
      <w:pPr>
        <w:spacing w:after="0" w:line="288" w:lineRule="auto"/>
        <w:rPr>
          <w:rFonts w:eastAsiaTheme="minorEastAsia"/>
        </w:rPr>
      </w:pPr>
    </w:p>
    <w:p w14:paraId="3003845A" w14:textId="05DAC9EF" w:rsidR="00EF6FFB" w:rsidRDefault="00A01C21" w:rsidP="00A01C21">
      <w:pPr>
        <w:spacing w:before="0" w:after="0" w:line="288" w:lineRule="auto"/>
        <w:rPr>
          <w:rFonts w:eastAsiaTheme="minorEastAsia"/>
        </w:rPr>
      </w:pPr>
      <w:r>
        <w:rPr>
          <w:rFonts w:eastAsiaTheme="minorEastAsia"/>
        </w:rPr>
        <w:t>Universities Australia (UA</w:t>
      </w:r>
      <w:r w:rsidRPr="4CF7CFC5">
        <w:rPr>
          <w:rFonts w:eastAsiaTheme="minorEastAsia"/>
        </w:rPr>
        <w:t>)</w:t>
      </w:r>
      <w:r>
        <w:rPr>
          <w:rFonts w:eastAsiaTheme="minorEastAsia"/>
        </w:rPr>
        <w:t xml:space="preserve"> welcomes the opportunity to make </w:t>
      </w:r>
      <w:r w:rsidR="007F0F25">
        <w:rPr>
          <w:rFonts w:cstheme="minorHAnsi"/>
        </w:rPr>
        <w:t xml:space="preserve">a </w:t>
      </w:r>
      <w:r>
        <w:rPr>
          <w:rFonts w:eastAsiaTheme="minorEastAsia"/>
        </w:rPr>
        <w:t>submission to the Independent Review of the Australian Public Service (APS). The review is examining how the APS can</w:t>
      </w:r>
      <w:r w:rsidRPr="4CF7CFC5">
        <w:rPr>
          <w:rFonts w:eastAsiaTheme="minorEastAsia"/>
        </w:rPr>
        <w:t xml:space="preserve"> </w:t>
      </w:r>
      <w:r>
        <w:rPr>
          <w:rFonts w:eastAsiaTheme="minorEastAsia"/>
        </w:rPr>
        <w:t>assist government to manage and respond to future challenges in increasingly complex and digitally enabled global economies. A key goal is a fit</w:t>
      </w:r>
      <w:r w:rsidRPr="4CF7CFC5">
        <w:rPr>
          <w:rFonts w:eastAsiaTheme="minorEastAsia"/>
        </w:rPr>
        <w:t>-</w:t>
      </w:r>
      <w:r>
        <w:rPr>
          <w:rFonts w:eastAsiaTheme="minorEastAsia"/>
        </w:rPr>
        <w:t>for</w:t>
      </w:r>
      <w:r w:rsidRPr="4CF7CFC5">
        <w:rPr>
          <w:rFonts w:eastAsiaTheme="minorEastAsia"/>
        </w:rPr>
        <w:t>-</w:t>
      </w:r>
      <w:r>
        <w:rPr>
          <w:rFonts w:eastAsiaTheme="minorEastAsia"/>
        </w:rPr>
        <w:t>purpose APS to drive innovative, efficient policy development and implementation through collaborative, whole-of government approaches</w:t>
      </w:r>
      <w:r w:rsidRPr="4CF7CFC5">
        <w:rPr>
          <w:rFonts w:eastAsiaTheme="minorEastAsia"/>
        </w:rPr>
        <w:t xml:space="preserve">.  </w:t>
      </w:r>
    </w:p>
    <w:p w14:paraId="1407CA3A" w14:textId="33FBFF80" w:rsidR="00EF6FFB" w:rsidRDefault="00EF6FFB" w:rsidP="00A01C21">
      <w:pPr>
        <w:spacing w:before="0" w:after="0" w:line="288" w:lineRule="auto"/>
        <w:rPr>
          <w:rFonts w:eastAsiaTheme="minorEastAsia"/>
        </w:rPr>
      </w:pPr>
    </w:p>
    <w:p w14:paraId="13D324AA" w14:textId="552BFFF9" w:rsidR="00A01C21" w:rsidRPr="000C60DB" w:rsidRDefault="00A01C21" w:rsidP="00A01C21">
      <w:pPr>
        <w:spacing w:before="0" w:after="0" w:line="288" w:lineRule="auto"/>
        <w:rPr>
          <w:rFonts w:cstheme="minorHAnsi"/>
        </w:rPr>
      </w:pPr>
      <w:r>
        <w:rPr>
          <w:rFonts w:cstheme="minorHAnsi"/>
        </w:rPr>
        <w:t>Comment is</w:t>
      </w:r>
      <w:r w:rsidRPr="000C60DB">
        <w:rPr>
          <w:rFonts w:cstheme="minorHAnsi"/>
        </w:rPr>
        <w:t xml:space="preserve"> </w:t>
      </w:r>
      <w:r>
        <w:rPr>
          <w:rFonts w:cstheme="minorHAnsi"/>
        </w:rPr>
        <w:t xml:space="preserve">especially </w:t>
      </w:r>
      <w:r w:rsidRPr="000C60DB">
        <w:rPr>
          <w:rFonts w:cstheme="minorHAnsi"/>
        </w:rPr>
        <w:t>sought on how the APS can best:</w:t>
      </w:r>
    </w:p>
    <w:p w14:paraId="263236BF" w14:textId="77777777" w:rsidR="00A01C21" w:rsidRPr="00DC42CB" w:rsidRDefault="00A01C21" w:rsidP="00230A00">
      <w:pPr>
        <w:pStyle w:val="Bullet1"/>
      </w:pPr>
      <w:r w:rsidRPr="00DC42CB">
        <w:t>drive innovation and productivity in the economy;</w:t>
      </w:r>
    </w:p>
    <w:p w14:paraId="6F6AFE92" w14:textId="77777777" w:rsidR="00A01C21" w:rsidRPr="00DC42CB" w:rsidRDefault="00A01C21" w:rsidP="00230A00">
      <w:pPr>
        <w:pStyle w:val="Bullet1"/>
      </w:pPr>
      <w:r w:rsidRPr="00DC42CB">
        <w:t>deliver high quality policy advice, regulatory oversight, programs and services;</w:t>
      </w:r>
    </w:p>
    <w:p w14:paraId="76B5284A" w14:textId="77777777" w:rsidR="00A01C21" w:rsidRPr="00DC42CB" w:rsidRDefault="00A01C21" w:rsidP="00230A00">
      <w:pPr>
        <w:pStyle w:val="Bullet1"/>
      </w:pPr>
      <w:r w:rsidRPr="00DC42CB">
        <w:t>tackle complex, multi-sectoral challenges in collaboration with the community and business;</w:t>
      </w:r>
    </w:p>
    <w:p w14:paraId="1ED78576" w14:textId="6DFDC1EC" w:rsidR="00A01C21" w:rsidRPr="00DC42CB" w:rsidRDefault="00A01C21" w:rsidP="00230A00">
      <w:pPr>
        <w:pStyle w:val="Bullet1"/>
      </w:pPr>
      <w:r w:rsidRPr="00DC42CB">
        <w:t>ensure our domestic, foreign, trade and security interests are coordinated and well</w:t>
      </w:r>
      <w:r w:rsidR="006C7D4B">
        <w:t xml:space="preserve"> </w:t>
      </w:r>
      <w:r w:rsidRPr="00DC42CB">
        <w:t>managed;</w:t>
      </w:r>
    </w:p>
    <w:p w14:paraId="4D27CCF8" w14:textId="77777777" w:rsidR="00A01C21" w:rsidRPr="00DC42CB" w:rsidRDefault="00A01C21" w:rsidP="00230A00">
      <w:pPr>
        <w:pStyle w:val="Bullet1"/>
      </w:pPr>
      <w:r w:rsidRPr="00DC42CB">
        <w:t>improve citizens’ experience of government and deliver fair outcomes for them; and</w:t>
      </w:r>
    </w:p>
    <w:p w14:paraId="0AEF1C6A" w14:textId="1933C2CF" w:rsidR="00A01C21" w:rsidRPr="00DC42CB" w:rsidRDefault="00A01C21" w:rsidP="00230A00">
      <w:pPr>
        <w:pStyle w:val="Bullet1"/>
      </w:pPr>
      <w:r w:rsidRPr="00DC42CB">
        <w:t>acquire and maintain the necessary skills and expertise to fulfil its responsibilities.</w:t>
      </w:r>
    </w:p>
    <w:p w14:paraId="438F90A3" w14:textId="1EF7BE09" w:rsidR="00A01C21" w:rsidRDefault="00A01C21" w:rsidP="00A01C21">
      <w:pPr>
        <w:spacing w:after="0" w:line="288" w:lineRule="auto"/>
        <w:textAlignment w:val="baseline"/>
        <w:rPr>
          <w:rFonts w:eastAsia="Times New Roman" w:cstheme="minorHAnsi"/>
          <w:lang w:eastAsia="en-AU"/>
        </w:rPr>
      </w:pPr>
      <w:r w:rsidRPr="00A01C21">
        <w:rPr>
          <w:rFonts w:cstheme="minorHAnsi"/>
        </w:rPr>
        <w:t xml:space="preserve">The focus of UA’s submission is on point three: tackling complex, multi-sectoral challenges </w:t>
      </w:r>
      <w:proofErr w:type="gramStart"/>
      <w:r w:rsidRPr="00A01C21">
        <w:rPr>
          <w:rFonts w:cstheme="minorHAnsi"/>
        </w:rPr>
        <w:t>in the area of</w:t>
      </w:r>
      <w:proofErr w:type="gramEnd"/>
      <w:r w:rsidRPr="00A01C21">
        <w:rPr>
          <w:rFonts w:cstheme="minorHAnsi"/>
        </w:rPr>
        <w:t xml:space="preserve"> </w:t>
      </w:r>
      <w:r w:rsidRPr="00A01C21">
        <w:rPr>
          <w:rFonts w:eastAsia="Times New Roman" w:cstheme="minorHAnsi"/>
          <w:lang w:eastAsia="en-AU"/>
        </w:rPr>
        <w:t xml:space="preserve">health workforce development and its critical links with health professional education. </w:t>
      </w:r>
    </w:p>
    <w:p w14:paraId="64ECD61D" w14:textId="77777777" w:rsidR="0056593C" w:rsidRDefault="00A01C21" w:rsidP="00A01C21">
      <w:pPr>
        <w:spacing w:after="0" w:line="288" w:lineRule="auto"/>
        <w:textAlignment w:val="baseline"/>
        <w:rPr>
          <w:rFonts w:cstheme="minorHAnsi"/>
        </w:rPr>
      </w:pPr>
      <w:r>
        <w:rPr>
          <w:rFonts w:cstheme="minorHAnsi"/>
        </w:rPr>
        <w:t>Health service access and workforce supply is prone to market failure</w:t>
      </w:r>
      <w:r>
        <w:rPr>
          <w:rStyle w:val="EndnoteReference"/>
          <w:rFonts w:cstheme="minorHAnsi"/>
        </w:rPr>
        <w:endnoteReference w:id="2"/>
      </w:r>
      <w:r>
        <w:rPr>
          <w:rFonts w:cstheme="minorHAnsi"/>
        </w:rPr>
        <w:t xml:space="preserve">. Yet a sufficient, appropriately-skilled and distributed health workforce </w:t>
      </w:r>
      <w:r w:rsidRPr="000C60DB">
        <w:rPr>
          <w:rFonts w:cstheme="minorHAnsi"/>
        </w:rPr>
        <w:t>is a key component of a high functioning health system</w:t>
      </w:r>
      <w:r>
        <w:rPr>
          <w:rStyle w:val="EndnoteReference"/>
          <w:rFonts w:cstheme="minorHAnsi"/>
        </w:rPr>
        <w:endnoteReference w:id="3"/>
      </w:r>
      <w:r w:rsidRPr="000C60DB">
        <w:rPr>
          <w:rFonts w:cstheme="minorHAnsi"/>
        </w:rPr>
        <w:t>.</w:t>
      </w:r>
      <w:r>
        <w:rPr>
          <w:rFonts w:cstheme="minorHAnsi"/>
        </w:rPr>
        <w:t xml:space="preserve"> Australian universities play a crucial role in developing most of our entry-level health professional workforce so links between health workforce and health professional education policy are vital. </w:t>
      </w:r>
    </w:p>
    <w:p w14:paraId="11CDE387" w14:textId="26C8157B" w:rsidR="00A01C21" w:rsidRDefault="00A01C21" w:rsidP="00A01C21">
      <w:pPr>
        <w:spacing w:after="0" w:line="288" w:lineRule="auto"/>
        <w:textAlignment w:val="baseline"/>
        <w:rPr>
          <w:rFonts w:cstheme="minorHAnsi"/>
        </w:rPr>
      </w:pPr>
      <w:r>
        <w:rPr>
          <w:rFonts w:cstheme="minorHAnsi"/>
        </w:rPr>
        <w:t>However, currently i</w:t>
      </w:r>
      <w:r w:rsidRPr="000C60DB">
        <w:rPr>
          <w:rFonts w:cstheme="minorHAnsi"/>
        </w:rPr>
        <w:t>n Australia</w:t>
      </w:r>
      <w:r>
        <w:rPr>
          <w:rFonts w:cstheme="minorHAnsi"/>
        </w:rPr>
        <w:t>, responsibilities and funding for these two distinct, but inter-related, areas are shared across a fragmented array of government and other stakeholders: h</w:t>
      </w:r>
      <w:r w:rsidRPr="000C60DB">
        <w:rPr>
          <w:rFonts w:cstheme="minorHAnsi"/>
        </w:rPr>
        <w:t xml:space="preserve">ealth workforce policy is largely overseen by </w:t>
      </w:r>
      <w:r>
        <w:rPr>
          <w:rFonts w:cstheme="minorHAnsi"/>
        </w:rPr>
        <w:t>public service d</w:t>
      </w:r>
      <w:r w:rsidRPr="000C60DB">
        <w:rPr>
          <w:rFonts w:cstheme="minorHAnsi"/>
        </w:rPr>
        <w:t xml:space="preserve">epartments of </w:t>
      </w:r>
      <w:r>
        <w:rPr>
          <w:rFonts w:cstheme="minorHAnsi"/>
        </w:rPr>
        <w:t>h</w:t>
      </w:r>
      <w:r w:rsidRPr="000C60DB">
        <w:rPr>
          <w:rFonts w:cstheme="minorHAnsi"/>
        </w:rPr>
        <w:t>ealth at national and state levels</w:t>
      </w:r>
      <w:r>
        <w:rPr>
          <w:rFonts w:cstheme="minorHAnsi"/>
        </w:rPr>
        <w:t xml:space="preserve">; entry-level </w:t>
      </w:r>
      <w:r w:rsidRPr="000C60DB">
        <w:rPr>
          <w:rFonts w:cstheme="minorHAnsi"/>
        </w:rPr>
        <w:t xml:space="preserve">health professional education is </w:t>
      </w:r>
      <w:r>
        <w:rPr>
          <w:rFonts w:cstheme="minorHAnsi"/>
        </w:rPr>
        <w:t>h</w:t>
      </w:r>
      <w:r w:rsidRPr="000C60DB">
        <w:rPr>
          <w:rFonts w:cstheme="minorHAnsi"/>
        </w:rPr>
        <w:t>owever</w:t>
      </w:r>
      <w:r>
        <w:rPr>
          <w:rFonts w:cstheme="minorHAnsi"/>
        </w:rPr>
        <w:t>,</w:t>
      </w:r>
      <w:r w:rsidRPr="000C60DB">
        <w:rPr>
          <w:rFonts w:cstheme="minorHAnsi"/>
        </w:rPr>
        <w:t xml:space="preserve"> overseen </w:t>
      </w:r>
      <w:r>
        <w:rPr>
          <w:rFonts w:cstheme="minorHAnsi"/>
        </w:rPr>
        <w:t xml:space="preserve">largely </w:t>
      </w:r>
      <w:r w:rsidRPr="000C60DB">
        <w:rPr>
          <w:rFonts w:cstheme="minorHAnsi"/>
        </w:rPr>
        <w:t xml:space="preserve">by </w:t>
      </w:r>
      <w:r>
        <w:rPr>
          <w:rFonts w:cstheme="minorHAnsi"/>
        </w:rPr>
        <w:t>d</w:t>
      </w:r>
      <w:r w:rsidRPr="000C60DB">
        <w:rPr>
          <w:rFonts w:cstheme="minorHAnsi"/>
        </w:rPr>
        <w:t>epartment</w:t>
      </w:r>
      <w:r>
        <w:rPr>
          <w:rFonts w:cstheme="minorHAnsi"/>
        </w:rPr>
        <w:t>s</w:t>
      </w:r>
      <w:r w:rsidRPr="000C60DB">
        <w:rPr>
          <w:rFonts w:cstheme="minorHAnsi"/>
        </w:rPr>
        <w:t xml:space="preserve"> of </w:t>
      </w:r>
      <w:r>
        <w:rPr>
          <w:rFonts w:cstheme="minorHAnsi"/>
        </w:rPr>
        <w:t>e</w:t>
      </w:r>
      <w:r w:rsidRPr="000C60DB">
        <w:rPr>
          <w:rFonts w:cstheme="minorHAnsi"/>
        </w:rPr>
        <w:t>ducation</w:t>
      </w:r>
      <w:r>
        <w:rPr>
          <w:rFonts w:cstheme="minorHAnsi"/>
        </w:rPr>
        <w:t xml:space="preserve"> and training </w:t>
      </w:r>
      <w:r w:rsidR="00175BDC">
        <w:rPr>
          <w:rFonts w:cstheme="minorHAnsi"/>
        </w:rPr>
        <w:t>—</w:t>
      </w:r>
      <w:r w:rsidRPr="000C60DB">
        <w:rPr>
          <w:rFonts w:cstheme="minorHAnsi"/>
        </w:rPr>
        <w:t xml:space="preserve"> </w:t>
      </w:r>
      <w:r>
        <w:rPr>
          <w:rFonts w:cstheme="minorHAnsi"/>
        </w:rPr>
        <w:t xml:space="preserve">the Commonwealth department </w:t>
      </w:r>
      <w:r w:rsidRPr="000C60DB">
        <w:rPr>
          <w:rFonts w:cstheme="minorHAnsi"/>
        </w:rPr>
        <w:t xml:space="preserve">for universities, and state and territory </w:t>
      </w:r>
      <w:r>
        <w:rPr>
          <w:rFonts w:cstheme="minorHAnsi"/>
        </w:rPr>
        <w:t xml:space="preserve">departments </w:t>
      </w:r>
      <w:r w:rsidRPr="000C60DB">
        <w:rPr>
          <w:rFonts w:cstheme="minorHAnsi"/>
        </w:rPr>
        <w:t>for the V</w:t>
      </w:r>
      <w:r>
        <w:rPr>
          <w:rFonts w:cstheme="minorHAnsi"/>
        </w:rPr>
        <w:t>ocational Education and Training (V</w:t>
      </w:r>
      <w:r w:rsidRPr="000C60DB">
        <w:rPr>
          <w:rFonts w:cstheme="minorHAnsi"/>
        </w:rPr>
        <w:t>ET</w:t>
      </w:r>
      <w:r>
        <w:rPr>
          <w:rFonts w:cstheme="minorHAnsi"/>
        </w:rPr>
        <w:t>)</w:t>
      </w:r>
      <w:r w:rsidRPr="000C60DB">
        <w:rPr>
          <w:rFonts w:cstheme="minorHAnsi"/>
        </w:rPr>
        <w:t xml:space="preserve"> sector</w:t>
      </w:r>
      <w:r>
        <w:rPr>
          <w:rFonts w:cstheme="minorHAnsi"/>
        </w:rPr>
        <w:t xml:space="preserve"> and schools</w:t>
      </w:r>
      <w:r w:rsidRPr="000C60DB">
        <w:rPr>
          <w:rFonts w:cstheme="minorHAnsi"/>
        </w:rPr>
        <w:t xml:space="preserve">. </w:t>
      </w:r>
      <w:r>
        <w:rPr>
          <w:rFonts w:cstheme="minorHAnsi"/>
        </w:rPr>
        <w:t>T</w:t>
      </w:r>
      <w:r w:rsidRPr="000C60DB">
        <w:rPr>
          <w:rFonts w:cstheme="minorHAnsi"/>
        </w:rPr>
        <w:t xml:space="preserve">here are also many other stakeholders involved in </w:t>
      </w:r>
      <w:r>
        <w:rPr>
          <w:rFonts w:cstheme="minorHAnsi"/>
        </w:rPr>
        <w:t xml:space="preserve">broader </w:t>
      </w:r>
      <w:r w:rsidRPr="000C60DB">
        <w:rPr>
          <w:rFonts w:cstheme="minorHAnsi"/>
        </w:rPr>
        <w:t>health professional education and health workforce development at national</w:t>
      </w:r>
      <w:r>
        <w:rPr>
          <w:rFonts w:cstheme="minorHAnsi"/>
        </w:rPr>
        <w:t>,</w:t>
      </w:r>
      <w:r w:rsidRPr="000C60DB">
        <w:rPr>
          <w:rFonts w:cstheme="minorHAnsi"/>
        </w:rPr>
        <w:t xml:space="preserve"> state and territory</w:t>
      </w:r>
      <w:r>
        <w:rPr>
          <w:rFonts w:cstheme="minorHAnsi"/>
        </w:rPr>
        <w:t xml:space="preserve"> and local</w:t>
      </w:r>
      <w:r w:rsidRPr="000C60DB">
        <w:rPr>
          <w:rFonts w:cstheme="minorHAnsi"/>
        </w:rPr>
        <w:t xml:space="preserve"> levels. </w:t>
      </w:r>
    </w:p>
    <w:p w14:paraId="3147B563" w14:textId="4BF972E5" w:rsidR="00A01C21" w:rsidRPr="000C60DB" w:rsidRDefault="00A01C21" w:rsidP="00A01C21">
      <w:pPr>
        <w:spacing w:after="0" w:line="288" w:lineRule="auto"/>
        <w:textAlignment w:val="baseline"/>
        <w:rPr>
          <w:rFonts w:cstheme="minorHAnsi"/>
        </w:rPr>
      </w:pPr>
      <w:r>
        <w:rPr>
          <w:rFonts w:cstheme="minorHAnsi"/>
        </w:rPr>
        <w:t>An</w:t>
      </w:r>
      <w:r w:rsidRPr="000C60DB">
        <w:rPr>
          <w:rFonts w:cstheme="minorHAnsi"/>
        </w:rPr>
        <w:t xml:space="preserve"> enduring</w:t>
      </w:r>
      <w:r>
        <w:rPr>
          <w:rFonts w:cstheme="minorHAnsi"/>
        </w:rPr>
        <w:t xml:space="preserve">, cross-portfolio, multi-sectoral health </w:t>
      </w:r>
      <w:r w:rsidRPr="000C60DB">
        <w:rPr>
          <w:rFonts w:cstheme="minorHAnsi"/>
        </w:rPr>
        <w:t>workforce policy</w:t>
      </w:r>
      <w:r>
        <w:rPr>
          <w:rFonts w:cstheme="minorHAnsi"/>
        </w:rPr>
        <w:t>,</w:t>
      </w:r>
      <w:r w:rsidRPr="000C60DB">
        <w:rPr>
          <w:rFonts w:cstheme="minorHAnsi"/>
        </w:rPr>
        <w:t xml:space="preserve"> planning</w:t>
      </w:r>
      <w:r>
        <w:rPr>
          <w:rFonts w:cstheme="minorHAnsi"/>
        </w:rPr>
        <w:t xml:space="preserve"> and funding</w:t>
      </w:r>
      <w:r w:rsidRPr="000C60DB">
        <w:rPr>
          <w:rFonts w:cstheme="minorHAnsi"/>
        </w:rPr>
        <w:t xml:space="preserve"> mechanism </w:t>
      </w:r>
      <w:r>
        <w:rPr>
          <w:rFonts w:cstheme="minorHAnsi"/>
        </w:rPr>
        <w:t>is needed</w:t>
      </w:r>
      <w:r w:rsidRPr="000C60DB">
        <w:rPr>
          <w:rFonts w:cstheme="minorHAnsi"/>
        </w:rPr>
        <w:t xml:space="preserve"> </w:t>
      </w:r>
      <w:r>
        <w:rPr>
          <w:rFonts w:cstheme="minorHAnsi"/>
        </w:rPr>
        <w:t>f</w:t>
      </w:r>
      <w:r w:rsidRPr="000C60DB">
        <w:rPr>
          <w:rFonts w:cstheme="minorHAnsi"/>
        </w:rPr>
        <w:t>or the APS to deliver effective policy advice regarding health workforce development</w:t>
      </w:r>
      <w:r>
        <w:rPr>
          <w:rFonts w:cstheme="minorHAnsi"/>
        </w:rPr>
        <w:t xml:space="preserve"> and related health professional education. Without such a mechanism, developing fit-for-purpose policy to address Australia’s challenges in health, aged</w:t>
      </w:r>
      <w:r w:rsidR="007256F6">
        <w:rPr>
          <w:rFonts w:cstheme="minorHAnsi"/>
        </w:rPr>
        <w:t>-</w:t>
      </w:r>
      <w:r>
        <w:rPr>
          <w:rFonts w:cstheme="minorHAnsi"/>
        </w:rPr>
        <w:t xml:space="preserve">care and disability (from here on referred to collectively as “health”) </w:t>
      </w:r>
      <w:r>
        <w:rPr>
          <w:rFonts w:cstheme="minorHAnsi"/>
        </w:rPr>
        <w:lastRenderedPageBreak/>
        <w:t xml:space="preserve">will continue to be disjointed with the risk (and in some cases actuality) that policy developed in one area will have adverse impacts on the policy goals of another. </w:t>
      </w:r>
    </w:p>
    <w:p w14:paraId="3B11784E" w14:textId="0630335D" w:rsidR="00A01C21" w:rsidRPr="000C60DB" w:rsidRDefault="007365BF" w:rsidP="00A01C21">
      <w:pPr>
        <w:spacing w:after="0" w:line="288" w:lineRule="auto"/>
        <w:rPr>
          <w:rFonts w:cstheme="minorHAnsi"/>
        </w:rPr>
      </w:pPr>
      <w:r>
        <w:rPr>
          <w:rFonts w:cstheme="minorHAnsi"/>
        </w:rPr>
        <w:t>S</w:t>
      </w:r>
      <w:r w:rsidR="00A01C21" w:rsidRPr="000C60DB">
        <w:rPr>
          <w:rFonts w:cstheme="minorHAnsi"/>
        </w:rPr>
        <w:t>everal discrete</w:t>
      </w:r>
      <w:r w:rsidR="00A01C21">
        <w:rPr>
          <w:rFonts w:cstheme="minorHAnsi"/>
        </w:rPr>
        <w:t xml:space="preserve">, </w:t>
      </w:r>
      <w:r w:rsidR="00A01C21" w:rsidRPr="000C60DB">
        <w:rPr>
          <w:rFonts w:cstheme="minorHAnsi"/>
        </w:rPr>
        <w:t xml:space="preserve">time-limited </w:t>
      </w:r>
      <w:r w:rsidR="00A01C21">
        <w:rPr>
          <w:rFonts w:cstheme="minorHAnsi"/>
        </w:rPr>
        <w:t xml:space="preserve">Australian government </w:t>
      </w:r>
      <w:r w:rsidR="00A01C21" w:rsidRPr="000C60DB">
        <w:rPr>
          <w:rFonts w:cstheme="minorHAnsi"/>
        </w:rPr>
        <w:t>committees</w:t>
      </w:r>
      <w:r w:rsidR="00A01C21">
        <w:rPr>
          <w:rFonts w:cstheme="minorHAnsi"/>
        </w:rPr>
        <w:t xml:space="preserve"> and mechanisms </w:t>
      </w:r>
      <w:r w:rsidR="00EE0647">
        <w:rPr>
          <w:rFonts w:cstheme="minorHAnsi"/>
        </w:rPr>
        <w:t xml:space="preserve">— </w:t>
      </w:r>
      <w:r w:rsidR="00A01C21" w:rsidRPr="000C60DB">
        <w:rPr>
          <w:rFonts w:cstheme="minorHAnsi"/>
        </w:rPr>
        <w:t>such as</w:t>
      </w:r>
      <w:r w:rsidR="00A01C21">
        <w:rPr>
          <w:rFonts w:cstheme="minorHAnsi"/>
        </w:rPr>
        <w:t xml:space="preserve"> </w:t>
      </w:r>
      <w:r w:rsidR="00A01C21" w:rsidRPr="000C60DB">
        <w:rPr>
          <w:rFonts w:cstheme="minorHAnsi"/>
        </w:rPr>
        <w:t>the National Medical Training Advisory Network</w:t>
      </w:r>
      <w:r w:rsidR="00EE0647">
        <w:rPr>
          <w:rFonts w:cstheme="minorHAnsi"/>
        </w:rPr>
        <w:t>,</w:t>
      </w:r>
      <w:r w:rsidR="00A01C21">
        <w:rPr>
          <w:rFonts w:cstheme="minorHAnsi"/>
        </w:rPr>
        <w:t xml:space="preserve"> </w:t>
      </w:r>
      <w:r w:rsidR="00A01C21" w:rsidRPr="000C60DB">
        <w:rPr>
          <w:rFonts w:cstheme="minorHAnsi"/>
        </w:rPr>
        <w:t xml:space="preserve">the Nursing and Midwifery Education Advisory Network </w:t>
      </w:r>
      <w:r w:rsidR="00EE0647">
        <w:rPr>
          <w:rFonts w:cstheme="minorHAnsi"/>
        </w:rPr>
        <w:t>(</w:t>
      </w:r>
      <w:r w:rsidR="00A01C21" w:rsidRPr="000C60DB">
        <w:rPr>
          <w:rFonts w:cstheme="minorHAnsi"/>
        </w:rPr>
        <w:t>currently in abeyance</w:t>
      </w:r>
      <w:r w:rsidR="00EE0647">
        <w:rPr>
          <w:rFonts w:cstheme="minorHAnsi"/>
        </w:rPr>
        <w:t>)</w:t>
      </w:r>
      <w:r w:rsidR="00A01C21">
        <w:rPr>
          <w:rFonts w:cstheme="minorHAnsi"/>
        </w:rPr>
        <w:t xml:space="preserve"> the </w:t>
      </w:r>
      <w:r w:rsidR="00B95091">
        <w:rPr>
          <w:rFonts w:cstheme="minorHAnsi"/>
        </w:rPr>
        <w:t>Aged-Care</w:t>
      </w:r>
      <w:r w:rsidR="00A01C21" w:rsidRPr="000C60DB">
        <w:rPr>
          <w:rFonts w:cstheme="minorHAnsi"/>
        </w:rPr>
        <w:t xml:space="preserve"> Workforce Strategy Taskforce </w:t>
      </w:r>
      <w:r w:rsidR="00EE0647">
        <w:rPr>
          <w:rFonts w:cstheme="minorHAnsi"/>
        </w:rPr>
        <w:t>(</w:t>
      </w:r>
      <w:r w:rsidR="00A01C21" w:rsidRPr="000C60DB">
        <w:rPr>
          <w:rFonts w:cstheme="minorHAnsi"/>
        </w:rPr>
        <w:t>now formally ceased</w:t>
      </w:r>
      <w:r w:rsidR="00EE0647">
        <w:rPr>
          <w:rFonts w:cstheme="minorHAnsi"/>
        </w:rPr>
        <w:t>),</w:t>
      </w:r>
      <w:r w:rsidR="00A01C21">
        <w:rPr>
          <w:rFonts w:cstheme="minorHAnsi"/>
        </w:rPr>
        <w:t xml:space="preserve"> </w:t>
      </w:r>
      <w:r w:rsidR="00A01C21" w:rsidRPr="005C2667">
        <w:rPr>
          <w:rFonts w:cstheme="minorHAnsi"/>
        </w:rPr>
        <w:t xml:space="preserve">the aged services industry reference committee and </w:t>
      </w:r>
      <w:r w:rsidR="00A01C21">
        <w:rPr>
          <w:rFonts w:cstheme="minorHAnsi"/>
        </w:rPr>
        <w:t xml:space="preserve">the </w:t>
      </w:r>
      <w:proofErr w:type="spellStart"/>
      <w:r w:rsidR="00A01C21" w:rsidRPr="000C60DB">
        <w:rPr>
          <w:rFonts w:cstheme="minorHAnsi"/>
        </w:rPr>
        <w:t>H</w:t>
      </w:r>
      <w:r w:rsidR="00A01C21">
        <w:rPr>
          <w:rFonts w:cstheme="minorHAnsi"/>
        </w:rPr>
        <w:t>ea</w:t>
      </w:r>
      <w:r w:rsidR="00A01C21" w:rsidRPr="000C60DB">
        <w:rPr>
          <w:rFonts w:cstheme="minorHAnsi"/>
        </w:rPr>
        <w:t>DS</w:t>
      </w:r>
      <w:proofErr w:type="spellEnd"/>
      <w:r w:rsidR="00A01C21" w:rsidRPr="000C60DB">
        <w:rPr>
          <w:rFonts w:cstheme="minorHAnsi"/>
        </w:rPr>
        <w:t xml:space="preserve"> UPP tool for workforce planning</w:t>
      </w:r>
      <w:r w:rsidR="00A01C21">
        <w:rPr>
          <w:rFonts w:cstheme="minorHAnsi"/>
        </w:rPr>
        <w:t xml:space="preserve"> </w:t>
      </w:r>
      <w:r w:rsidR="00EE0647">
        <w:rPr>
          <w:rFonts w:cstheme="minorHAnsi"/>
        </w:rPr>
        <w:t xml:space="preserve">— </w:t>
      </w:r>
      <w:r w:rsidR="00A01C21">
        <w:rPr>
          <w:rFonts w:cstheme="minorHAnsi"/>
        </w:rPr>
        <w:t xml:space="preserve">already exist or are in development to support certain </w:t>
      </w:r>
      <w:r w:rsidR="00A01C21" w:rsidRPr="000C60DB">
        <w:rPr>
          <w:rFonts w:cstheme="minorHAnsi"/>
        </w:rPr>
        <w:t>aspects of health professional education and workforce</w:t>
      </w:r>
      <w:r w:rsidR="00A01C21">
        <w:rPr>
          <w:rFonts w:cstheme="minorHAnsi"/>
        </w:rPr>
        <w:t xml:space="preserve"> planning</w:t>
      </w:r>
      <w:r w:rsidR="00A01C21" w:rsidRPr="000C60DB">
        <w:rPr>
          <w:rFonts w:cstheme="minorHAnsi"/>
        </w:rPr>
        <w:t>.</w:t>
      </w:r>
      <w:r w:rsidR="00A01C21">
        <w:rPr>
          <w:rFonts w:cstheme="minorHAnsi"/>
        </w:rPr>
        <w:t xml:space="preserve"> </w:t>
      </w:r>
    </w:p>
    <w:p w14:paraId="645EBA50" w14:textId="2002DE1F" w:rsidR="00A01C21" w:rsidRDefault="00A01C21" w:rsidP="00A01C21">
      <w:pPr>
        <w:spacing w:after="0" w:line="288" w:lineRule="auto"/>
        <w:rPr>
          <w:rFonts w:eastAsiaTheme="minorEastAsia"/>
        </w:rPr>
      </w:pPr>
      <w:r>
        <w:rPr>
          <w:rFonts w:eastAsiaTheme="minorEastAsia"/>
        </w:rPr>
        <w:t>UA acknowledges the contribution of these groups</w:t>
      </w:r>
      <w:r w:rsidR="0029580D">
        <w:rPr>
          <w:rFonts w:eastAsiaTheme="minorEastAsia"/>
        </w:rPr>
        <w:t xml:space="preserve"> and </w:t>
      </w:r>
      <w:r>
        <w:rPr>
          <w:rFonts w:eastAsiaTheme="minorEastAsia"/>
        </w:rPr>
        <w:t>mechanisms</w:t>
      </w:r>
      <w:r w:rsidRPr="38FEAE64">
        <w:rPr>
          <w:rFonts w:eastAsiaTheme="minorEastAsia"/>
        </w:rPr>
        <w:t>.</w:t>
      </w:r>
      <w:r>
        <w:rPr>
          <w:rFonts w:eastAsiaTheme="minorEastAsia"/>
        </w:rPr>
        <w:t xml:space="preserve"> UA especially welcomes the recently established </w:t>
      </w:r>
      <w:r w:rsidR="00897FC9">
        <w:rPr>
          <w:rFonts w:eastAsiaTheme="minorEastAsia"/>
        </w:rPr>
        <w:t xml:space="preserve">aged services industry reference committee </w:t>
      </w:r>
      <w:r>
        <w:rPr>
          <w:rFonts w:eastAsiaTheme="minorEastAsia"/>
        </w:rPr>
        <w:t xml:space="preserve">which brings stakeholders from multiple sectors together to work with government on building relevant workforce and skills capacity within </w:t>
      </w:r>
      <w:r w:rsidR="00B95091">
        <w:rPr>
          <w:rFonts w:eastAsiaTheme="minorEastAsia"/>
        </w:rPr>
        <w:t>aged-care</w:t>
      </w:r>
      <w:r>
        <w:rPr>
          <w:rFonts w:eastAsiaTheme="minorEastAsia"/>
        </w:rPr>
        <w:t xml:space="preserve">, including its associated education and training needs. </w:t>
      </w:r>
    </w:p>
    <w:p w14:paraId="7FD918B8" w14:textId="2002DE1F" w:rsidR="002B6AE4" w:rsidRDefault="000C49C5" w:rsidP="00A01C21">
      <w:pPr>
        <w:spacing w:after="0" w:line="288" w:lineRule="auto"/>
        <w:rPr>
          <w:rFonts w:eastAsiaTheme="minorEastAsia"/>
        </w:rPr>
      </w:pPr>
      <w:r>
        <w:rPr>
          <w:rFonts w:eastAsiaTheme="minorEastAsia"/>
        </w:rPr>
        <w:t>A</w:t>
      </w:r>
      <w:r w:rsidR="00A01C21">
        <w:rPr>
          <w:rFonts w:eastAsiaTheme="minorEastAsia"/>
        </w:rPr>
        <w:t xml:space="preserve"> wider</w:t>
      </w:r>
      <w:r w:rsidR="00A01C21" w:rsidRPr="38FEAE64">
        <w:rPr>
          <w:rFonts w:eastAsiaTheme="minorEastAsia"/>
        </w:rPr>
        <w:t>,</w:t>
      </w:r>
      <w:r w:rsidR="00A01C21">
        <w:rPr>
          <w:rFonts w:eastAsiaTheme="minorEastAsia"/>
        </w:rPr>
        <w:t xml:space="preserve"> overarching mechanism is</w:t>
      </w:r>
      <w:r w:rsidR="003D2553" w:rsidRPr="38FEAE64">
        <w:rPr>
          <w:rFonts w:eastAsiaTheme="minorEastAsia"/>
        </w:rPr>
        <w:t>,</w:t>
      </w:r>
      <w:r w:rsidR="00A01C21" w:rsidRPr="38FEAE64">
        <w:rPr>
          <w:rFonts w:eastAsiaTheme="minorEastAsia"/>
        </w:rPr>
        <w:t xml:space="preserve"> </w:t>
      </w:r>
      <w:r>
        <w:rPr>
          <w:rFonts w:eastAsiaTheme="minorEastAsia"/>
        </w:rPr>
        <w:t>however</w:t>
      </w:r>
      <w:r w:rsidR="003D2553" w:rsidRPr="38FEAE64">
        <w:rPr>
          <w:rFonts w:eastAsiaTheme="minorEastAsia"/>
        </w:rPr>
        <w:t>,</w:t>
      </w:r>
      <w:r w:rsidRPr="38FEAE64">
        <w:rPr>
          <w:rFonts w:eastAsiaTheme="minorEastAsia"/>
        </w:rPr>
        <w:t xml:space="preserve"> </w:t>
      </w:r>
      <w:r w:rsidR="00A01C21">
        <w:rPr>
          <w:rFonts w:eastAsiaTheme="minorEastAsia"/>
        </w:rPr>
        <w:t>needed that draws on the work of individual groups and mechanisms to bring their separate work together into a meaningful whole</w:t>
      </w:r>
      <w:r w:rsidR="00721449" w:rsidRPr="38FEAE64">
        <w:rPr>
          <w:rFonts w:eastAsiaTheme="minorEastAsia"/>
        </w:rPr>
        <w:t>.</w:t>
      </w:r>
      <w:r w:rsidR="00CB5B10" w:rsidRPr="38FEAE64">
        <w:rPr>
          <w:rFonts w:eastAsiaTheme="minorEastAsia"/>
        </w:rPr>
        <w:t xml:space="preserve"> </w:t>
      </w:r>
      <w:r w:rsidR="00721449">
        <w:rPr>
          <w:rFonts w:eastAsiaTheme="minorEastAsia"/>
        </w:rPr>
        <w:t>This would help</w:t>
      </w:r>
      <w:r w:rsidR="00A01C21">
        <w:rPr>
          <w:rFonts w:eastAsiaTheme="minorEastAsia"/>
        </w:rPr>
        <w:t xml:space="preserve"> to connect universities and higher education with the different health system parts and players</w:t>
      </w:r>
      <w:r w:rsidR="00A01C21" w:rsidRPr="38FEAE64">
        <w:rPr>
          <w:rFonts w:eastAsiaTheme="minorEastAsia"/>
        </w:rPr>
        <w:t>;</w:t>
      </w:r>
      <w:r w:rsidR="00A01C21">
        <w:rPr>
          <w:rFonts w:eastAsiaTheme="minorEastAsia"/>
        </w:rPr>
        <w:t xml:space="preserve"> address ongoing workforce and clinical education gaps, including clinical placements; and develop whole</w:t>
      </w:r>
      <w:r w:rsidR="00A01C21" w:rsidRPr="38FEAE64">
        <w:rPr>
          <w:rFonts w:eastAsiaTheme="minorEastAsia"/>
        </w:rPr>
        <w:t>-</w:t>
      </w:r>
      <w:r w:rsidR="00A01C21">
        <w:rPr>
          <w:rFonts w:eastAsiaTheme="minorEastAsia"/>
        </w:rPr>
        <w:t>of</w:t>
      </w:r>
      <w:r w:rsidR="00A01C21" w:rsidRPr="38FEAE64">
        <w:rPr>
          <w:rFonts w:eastAsiaTheme="minorEastAsia"/>
        </w:rPr>
        <w:t>-</w:t>
      </w:r>
      <w:r w:rsidR="00A01C21">
        <w:rPr>
          <w:rFonts w:eastAsiaTheme="minorEastAsia"/>
        </w:rPr>
        <w:t>system planning</w:t>
      </w:r>
      <w:r w:rsidR="00A01C21" w:rsidRPr="38FEAE64">
        <w:rPr>
          <w:rFonts w:eastAsiaTheme="minorEastAsia"/>
        </w:rPr>
        <w:t xml:space="preserve">. </w:t>
      </w:r>
    </w:p>
    <w:p w14:paraId="29AD94EF" w14:textId="38005567" w:rsidR="00A01C21" w:rsidRDefault="00A01C21" w:rsidP="00A01C21">
      <w:pPr>
        <w:spacing w:after="0" w:line="288" w:lineRule="auto"/>
        <w:rPr>
          <w:rFonts w:cstheme="minorHAnsi"/>
        </w:rPr>
      </w:pPr>
      <w:r w:rsidRPr="000C60DB">
        <w:rPr>
          <w:rFonts w:cstheme="minorHAnsi"/>
        </w:rPr>
        <w:t>This is especially relevant in relation to</w:t>
      </w:r>
      <w:r>
        <w:rPr>
          <w:rFonts w:cstheme="minorHAnsi"/>
        </w:rPr>
        <w:t xml:space="preserve"> policy and planning:</w:t>
      </w:r>
    </w:p>
    <w:p w14:paraId="03374FF2" w14:textId="3B1B0947" w:rsidR="00A01C21" w:rsidRPr="00667D5C" w:rsidRDefault="00A01C21" w:rsidP="00230A00">
      <w:pPr>
        <w:pStyle w:val="Bullet1"/>
      </w:pPr>
      <w:r w:rsidRPr="00667D5C">
        <w:t xml:space="preserve">across </w:t>
      </w:r>
      <w:r>
        <w:t xml:space="preserve">the sectors of </w:t>
      </w:r>
      <w:r w:rsidRPr="00667D5C">
        <w:t xml:space="preserve">health, </w:t>
      </w:r>
      <w:r w:rsidR="00B95091">
        <w:t>aged-care</w:t>
      </w:r>
      <w:r w:rsidRPr="00667D5C">
        <w:t xml:space="preserve"> and disability </w:t>
      </w:r>
      <w:r w:rsidR="005E7EF7">
        <w:t>—</w:t>
      </w:r>
      <w:r>
        <w:t xml:space="preserve"> </w:t>
      </w:r>
      <w:r w:rsidRPr="00667D5C">
        <w:t>which all draw on the same health professional workforce</w:t>
      </w:r>
      <w:r w:rsidR="00AD129B">
        <w:t>;</w:t>
      </w:r>
    </w:p>
    <w:p w14:paraId="7C02B673" w14:textId="4FC44478" w:rsidR="00A01C21" w:rsidRDefault="00A01C21" w:rsidP="00230A00">
      <w:pPr>
        <w:pStyle w:val="Bullet1"/>
      </w:pPr>
      <w:r>
        <w:t xml:space="preserve">across disciplines </w:t>
      </w:r>
      <w:r w:rsidRPr="00667D5C">
        <w:t>for multi-professional service delivery and new models of care where scopes of practice and new workforce roles may change</w:t>
      </w:r>
      <w:r>
        <w:t xml:space="preserve"> or </w:t>
      </w:r>
      <w:r w:rsidRPr="00667D5C">
        <w:t xml:space="preserve">be developed </w:t>
      </w:r>
      <w:r>
        <w:t xml:space="preserve">and </w:t>
      </w:r>
      <w:r w:rsidRPr="00667D5C">
        <w:t xml:space="preserve">impact on </w:t>
      </w:r>
      <w:r>
        <w:t>traditional</w:t>
      </w:r>
      <w:r w:rsidRPr="00667D5C">
        <w:t xml:space="preserve"> workforce needs </w:t>
      </w:r>
      <w:r>
        <w:t>in other disciplines</w:t>
      </w:r>
      <w:r w:rsidR="00AD129B">
        <w:t>;</w:t>
      </w:r>
    </w:p>
    <w:p w14:paraId="67B81AA5" w14:textId="0653E534" w:rsidR="00E66B00" w:rsidRDefault="00A01C21" w:rsidP="00230A00">
      <w:pPr>
        <w:pStyle w:val="Bullet1"/>
      </w:pPr>
      <w:r>
        <w:t xml:space="preserve">where </w:t>
      </w:r>
      <w:r w:rsidR="00EC5BE9" w:rsidRPr="0032396A">
        <w:t>models</w:t>
      </w:r>
      <w:r w:rsidR="0008704E">
        <w:t>-</w:t>
      </w:r>
      <w:r w:rsidR="00EC5BE9" w:rsidRPr="0032396A">
        <w:t>of</w:t>
      </w:r>
      <w:r w:rsidR="0008704E">
        <w:t>-</w:t>
      </w:r>
      <w:r w:rsidR="00EC5BE9" w:rsidRPr="0032396A">
        <w:t>care</w:t>
      </w:r>
      <w:r w:rsidR="00EC5BE9">
        <w:t xml:space="preserve">, </w:t>
      </w:r>
      <w:r w:rsidR="00EC5BE9" w:rsidRPr="0032396A">
        <w:t>workforce</w:t>
      </w:r>
      <w:r w:rsidR="00EC5BE9">
        <w:t xml:space="preserve">, </w:t>
      </w:r>
      <w:r w:rsidR="00C16EA4" w:rsidRPr="0032396A">
        <w:t>skills</w:t>
      </w:r>
      <w:r w:rsidR="00C16EA4">
        <w:t>/skill</w:t>
      </w:r>
      <w:r w:rsidR="00C16EA4" w:rsidRPr="0032396A">
        <w:t xml:space="preserve"> mixes </w:t>
      </w:r>
      <w:r w:rsidR="00C16EA4">
        <w:t xml:space="preserve">and </w:t>
      </w:r>
      <w:r w:rsidR="00F10F3F" w:rsidRPr="0032396A">
        <w:t xml:space="preserve">clinical education </w:t>
      </w:r>
      <w:r w:rsidR="00C16EA4">
        <w:t xml:space="preserve">requirements </w:t>
      </w:r>
      <w:r w:rsidR="00EC5BE9" w:rsidRPr="0032396A">
        <w:t xml:space="preserve">are </w:t>
      </w:r>
      <w:r>
        <w:t>altered through</w:t>
      </w:r>
      <w:r w:rsidR="00E66B00">
        <w:t>:</w:t>
      </w:r>
    </w:p>
    <w:p w14:paraId="0F1E5B2F" w14:textId="1798AD94" w:rsidR="00A01C21" w:rsidRPr="00667D5C" w:rsidRDefault="00A01C21" w:rsidP="00230A00">
      <w:pPr>
        <w:pStyle w:val="Bullet2"/>
      </w:pPr>
      <w:r>
        <w:t xml:space="preserve">technological advances </w:t>
      </w:r>
      <w:r w:rsidR="00CA19BE">
        <w:t>and ongoing digital disruption</w:t>
      </w:r>
      <w:r w:rsidR="00AE7005">
        <w:t>;</w:t>
      </w:r>
    </w:p>
    <w:p w14:paraId="121BD605" w14:textId="37F21EAF" w:rsidR="009114CC" w:rsidRDefault="00CA19BE" w:rsidP="00230A00">
      <w:pPr>
        <w:pStyle w:val="Bullet2"/>
      </w:pPr>
      <w:r>
        <w:t>changing disease profiles (such as</w:t>
      </w:r>
      <w:r w:rsidR="00564CA0">
        <w:t xml:space="preserve"> growing levels of </w:t>
      </w:r>
      <w:r>
        <w:t>chronic disease</w:t>
      </w:r>
      <w:r w:rsidR="00823729">
        <w:t>, an ageing population</w:t>
      </w:r>
      <w:r w:rsidR="00564CA0">
        <w:t>)</w:t>
      </w:r>
      <w:r w:rsidR="00AE7005">
        <w:t>;</w:t>
      </w:r>
      <w:r w:rsidR="00564CA0">
        <w:t xml:space="preserve"> </w:t>
      </w:r>
      <w:r w:rsidR="00D16A09">
        <w:t>and</w:t>
      </w:r>
    </w:p>
    <w:p w14:paraId="1A9CD8CB" w14:textId="174C6656" w:rsidR="00A01C21" w:rsidRPr="0032396A" w:rsidRDefault="00823729" w:rsidP="00230A00">
      <w:pPr>
        <w:pStyle w:val="Bullet2"/>
      </w:pPr>
      <w:r>
        <w:t xml:space="preserve">increased need for </w:t>
      </w:r>
      <w:r w:rsidR="00A01C21" w:rsidRPr="0032396A">
        <w:t>preventative, restorative and early intervention approaches</w:t>
      </w:r>
      <w:r w:rsidR="00AE7005">
        <w:t>.</w:t>
      </w:r>
    </w:p>
    <w:p w14:paraId="3928152E" w14:textId="1C26E7C3" w:rsidR="00A01C21" w:rsidRDefault="00A01C21" w:rsidP="00A01C21">
      <w:pPr>
        <w:spacing w:after="0" w:line="288" w:lineRule="auto"/>
        <w:rPr>
          <w:rFonts w:cstheme="minorHAnsi"/>
        </w:rPr>
      </w:pPr>
      <w:r>
        <w:rPr>
          <w:rFonts w:cstheme="minorHAnsi"/>
        </w:rPr>
        <w:t xml:space="preserve">Planning and policy development for the above is not optimised when individual discipline groups or sectors are considered in isolation, as they are currently. </w:t>
      </w:r>
    </w:p>
    <w:p w14:paraId="217B3AC8" w14:textId="77777777" w:rsidR="00A056DB" w:rsidRDefault="00101A33" w:rsidP="00A01C21">
      <w:pPr>
        <w:spacing w:after="0" w:line="288" w:lineRule="auto"/>
        <w:rPr>
          <w:rFonts w:cstheme="minorHAnsi"/>
          <w:color w:val="001F47"/>
        </w:rPr>
      </w:pPr>
      <w:r>
        <w:rPr>
          <w:rFonts w:cstheme="minorHAnsi"/>
          <w:color w:val="001F47"/>
        </w:rPr>
        <w:t>A</w:t>
      </w:r>
      <w:r w:rsidR="00560458" w:rsidRPr="00722C3D">
        <w:rPr>
          <w:rFonts w:cstheme="minorHAnsi"/>
          <w:color w:val="001F47"/>
        </w:rPr>
        <w:t>ccording to the Productivity Commission’s recent report</w:t>
      </w:r>
      <w:r w:rsidR="00560458" w:rsidRPr="00722C3D">
        <w:rPr>
          <w:rStyle w:val="EndnoteReference"/>
          <w:rFonts w:cstheme="minorHAnsi"/>
          <w:color w:val="001F47"/>
        </w:rPr>
        <w:endnoteReference w:id="4"/>
      </w:r>
      <w:r>
        <w:rPr>
          <w:rFonts w:cstheme="minorHAnsi"/>
          <w:color w:val="001F47"/>
        </w:rPr>
        <w:t xml:space="preserve">, while </w:t>
      </w:r>
      <w:r w:rsidRPr="00722C3D">
        <w:rPr>
          <w:rFonts w:cstheme="minorHAnsi"/>
          <w:color w:val="001F47"/>
        </w:rPr>
        <w:t>Australia does reasonably well in some areas of health</w:t>
      </w:r>
      <w:r w:rsidR="00A324E8">
        <w:rPr>
          <w:rFonts w:cstheme="minorHAnsi"/>
          <w:color w:val="001F47"/>
        </w:rPr>
        <w:t xml:space="preserve">, its </w:t>
      </w:r>
      <w:r w:rsidR="00B133F6" w:rsidRPr="00722C3D">
        <w:rPr>
          <w:rFonts w:cstheme="minorHAnsi"/>
          <w:color w:val="001F47"/>
        </w:rPr>
        <w:t>lack of a systems approach</w:t>
      </w:r>
      <w:r w:rsidR="00A94F0D" w:rsidRPr="00722C3D">
        <w:rPr>
          <w:rFonts w:cstheme="minorHAnsi"/>
          <w:color w:val="001F47"/>
        </w:rPr>
        <w:t>,</w:t>
      </w:r>
      <w:r w:rsidR="00B133F6" w:rsidRPr="00722C3D">
        <w:rPr>
          <w:rFonts w:cstheme="minorHAnsi"/>
          <w:color w:val="001F47"/>
        </w:rPr>
        <w:t xml:space="preserve"> </w:t>
      </w:r>
      <w:r w:rsidR="00014A9C" w:rsidRPr="00722C3D">
        <w:rPr>
          <w:rFonts w:cstheme="minorHAnsi"/>
          <w:color w:val="001F47"/>
        </w:rPr>
        <w:t>jurisdictional</w:t>
      </w:r>
      <w:r w:rsidR="00735416" w:rsidRPr="00722C3D">
        <w:rPr>
          <w:rFonts w:cstheme="minorHAnsi"/>
          <w:color w:val="001F47"/>
        </w:rPr>
        <w:t xml:space="preserve"> barriers</w:t>
      </w:r>
      <w:r w:rsidR="00905A6A" w:rsidRPr="00722C3D">
        <w:rPr>
          <w:rFonts w:cstheme="minorHAnsi"/>
          <w:color w:val="001F47"/>
        </w:rPr>
        <w:t xml:space="preserve"> and other</w:t>
      </w:r>
      <w:r w:rsidR="00735416" w:rsidRPr="00722C3D">
        <w:rPr>
          <w:rFonts w:cstheme="minorHAnsi"/>
          <w:color w:val="001F47"/>
        </w:rPr>
        <w:t xml:space="preserve"> </w:t>
      </w:r>
      <w:r w:rsidR="00905A6A" w:rsidRPr="00722C3D">
        <w:rPr>
          <w:rFonts w:cstheme="minorHAnsi"/>
          <w:color w:val="001F47"/>
        </w:rPr>
        <w:t>service disconnects</w:t>
      </w:r>
      <w:r w:rsidR="00043927" w:rsidRPr="00722C3D">
        <w:rPr>
          <w:rFonts w:cstheme="minorHAnsi"/>
          <w:color w:val="001F47"/>
        </w:rPr>
        <w:t xml:space="preserve"> stymie available opportunities to </w:t>
      </w:r>
      <w:r w:rsidR="00AE1AB4" w:rsidRPr="00722C3D">
        <w:rPr>
          <w:rFonts w:cstheme="minorHAnsi"/>
          <w:color w:val="001F47"/>
        </w:rPr>
        <w:t xml:space="preserve">improve </w:t>
      </w:r>
      <w:r w:rsidR="00A324E8">
        <w:rPr>
          <w:rFonts w:cstheme="minorHAnsi"/>
          <w:color w:val="001F47"/>
        </w:rPr>
        <w:t xml:space="preserve">our </w:t>
      </w:r>
      <w:r w:rsidR="00AE1AB4" w:rsidRPr="00722C3D">
        <w:rPr>
          <w:rFonts w:cstheme="minorHAnsi"/>
          <w:color w:val="001F47"/>
        </w:rPr>
        <w:t>hea</w:t>
      </w:r>
      <w:r w:rsidR="00043927" w:rsidRPr="00722C3D">
        <w:rPr>
          <w:rFonts w:cstheme="minorHAnsi"/>
          <w:color w:val="001F47"/>
        </w:rPr>
        <w:t>l</w:t>
      </w:r>
      <w:r w:rsidR="00AE1AB4" w:rsidRPr="00722C3D">
        <w:rPr>
          <w:rFonts w:cstheme="minorHAnsi"/>
          <w:color w:val="001F47"/>
        </w:rPr>
        <w:t>th outco</w:t>
      </w:r>
      <w:r w:rsidR="00043927" w:rsidRPr="00722C3D">
        <w:rPr>
          <w:rFonts w:cstheme="minorHAnsi"/>
          <w:color w:val="001F47"/>
        </w:rPr>
        <w:t>m</w:t>
      </w:r>
      <w:r w:rsidR="00AE1AB4" w:rsidRPr="00722C3D">
        <w:rPr>
          <w:rFonts w:cstheme="minorHAnsi"/>
          <w:color w:val="001F47"/>
        </w:rPr>
        <w:t>es for a given expenditure</w:t>
      </w:r>
      <w:r w:rsidR="002B6D53" w:rsidRPr="00722C3D">
        <w:rPr>
          <w:rFonts w:cstheme="minorHAnsi"/>
          <w:color w:val="001F47"/>
        </w:rPr>
        <w:t xml:space="preserve"> and/or</w:t>
      </w:r>
      <w:r w:rsidR="00043927" w:rsidRPr="00722C3D">
        <w:rPr>
          <w:rFonts w:cstheme="minorHAnsi"/>
          <w:color w:val="001F47"/>
        </w:rPr>
        <w:t xml:space="preserve"> achieve current outcomes for less</w:t>
      </w:r>
      <w:r w:rsidR="002B6D53" w:rsidRPr="00722C3D">
        <w:rPr>
          <w:rFonts w:cstheme="minorHAnsi"/>
          <w:color w:val="001F47"/>
        </w:rPr>
        <w:t xml:space="preserve">. </w:t>
      </w:r>
    </w:p>
    <w:p w14:paraId="0876C6C5" w14:textId="5100A9B4" w:rsidR="00413AC5" w:rsidRPr="00722C3D" w:rsidRDefault="008B7FF8" w:rsidP="00A01C21">
      <w:pPr>
        <w:spacing w:after="0" w:line="288" w:lineRule="auto"/>
        <w:rPr>
          <w:rFonts w:cstheme="minorHAnsi"/>
          <w:color w:val="001F47"/>
        </w:rPr>
      </w:pPr>
      <w:r w:rsidRPr="00722C3D">
        <w:rPr>
          <w:rFonts w:cstheme="minorHAnsi"/>
          <w:color w:val="001F47"/>
        </w:rPr>
        <w:t>The report underlines that many opportunities for health system improvement relate to how it is organised, what it does</w:t>
      </w:r>
      <w:r w:rsidR="007C0F67" w:rsidRPr="00722C3D">
        <w:rPr>
          <w:rFonts w:cstheme="minorHAnsi"/>
          <w:color w:val="001F47"/>
        </w:rPr>
        <w:t xml:space="preserve">, </w:t>
      </w:r>
      <w:r w:rsidRPr="00722C3D">
        <w:rPr>
          <w:rFonts w:cstheme="minorHAnsi"/>
          <w:color w:val="001F47"/>
        </w:rPr>
        <w:t xml:space="preserve">the behaviours of the clinicians, administrators, and bureaucracies within it and the people they serve. </w:t>
      </w:r>
      <w:r w:rsidR="002B6D53" w:rsidRPr="00722C3D">
        <w:rPr>
          <w:rFonts w:cstheme="minorHAnsi"/>
          <w:color w:val="001F47"/>
        </w:rPr>
        <w:t>A</w:t>
      </w:r>
      <w:r w:rsidR="00E70C2F" w:rsidRPr="00722C3D">
        <w:rPr>
          <w:rFonts w:cstheme="minorHAnsi"/>
          <w:color w:val="001F47"/>
        </w:rPr>
        <w:t>d</w:t>
      </w:r>
      <w:r w:rsidR="009E69ED" w:rsidRPr="00722C3D">
        <w:rPr>
          <w:rFonts w:cstheme="minorHAnsi"/>
          <w:color w:val="001F47"/>
        </w:rPr>
        <w:t>d</w:t>
      </w:r>
      <w:r w:rsidR="00E70C2F" w:rsidRPr="00722C3D">
        <w:rPr>
          <w:rFonts w:cstheme="minorHAnsi"/>
          <w:color w:val="001F47"/>
        </w:rPr>
        <w:t xml:space="preserve">ressing </w:t>
      </w:r>
      <w:r w:rsidR="009E69ED" w:rsidRPr="00722C3D">
        <w:rPr>
          <w:rFonts w:cstheme="minorHAnsi"/>
          <w:color w:val="001F47"/>
        </w:rPr>
        <w:t>these obstacles through a</w:t>
      </w:r>
      <w:r w:rsidR="00A57013" w:rsidRPr="00722C3D">
        <w:rPr>
          <w:rFonts w:cstheme="minorHAnsi"/>
          <w:color w:val="001F47"/>
        </w:rPr>
        <w:t xml:space="preserve"> </w:t>
      </w:r>
      <w:r w:rsidR="002B6D53" w:rsidRPr="00722C3D">
        <w:rPr>
          <w:rFonts w:cstheme="minorHAnsi"/>
          <w:color w:val="001F47"/>
        </w:rPr>
        <w:t>more integrated</w:t>
      </w:r>
      <w:r w:rsidR="00A57013" w:rsidRPr="00722C3D">
        <w:rPr>
          <w:rFonts w:cstheme="minorHAnsi"/>
          <w:color w:val="001F47"/>
        </w:rPr>
        <w:t xml:space="preserve"> system </w:t>
      </w:r>
      <w:r w:rsidR="00E70C2F" w:rsidRPr="00722C3D">
        <w:rPr>
          <w:rFonts w:cstheme="minorHAnsi"/>
          <w:color w:val="001F47"/>
        </w:rPr>
        <w:t>and more effective prevention</w:t>
      </w:r>
      <w:r w:rsidR="00A62DB6">
        <w:rPr>
          <w:rFonts w:cstheme="minorHAnsi"/>
          <w:color w:val="001F47"/>
        </w:rPr>
        <w:t xml:space="preserve">, </w:t>
      </w:r>
      <w:r w:rsidR="007C0F67" w:rsidRPr="00722C3D">
        <w:rPr>
          <w:rFonts w:cstheme="minorHAnsi"/>
          <w:color w:val="001F47"/>
        </w:rPr>
        <w:t xml:space="preserve">closely </w:t>
      </w:r>
      <w:r w:rsidR="00A11DA7" w:rsidRPr="00722C3D">
        <w:rPr>
          <w:rFonts w:cstheme="minorHAnsi"/>
          <w:color w:val="001F47"/>
        </w:rPr>
        <w:t>linked to hea</w:t>
      </w:r>
      <w:r w:rsidR="004532D7" w:rsidRPr="00722C3D">
        <w:rPr>
          <w:rFonts w:cstheme="minorHAnsi"/>
          <w:color w:val="001F47"/>
        </w:rPr>
        <w:t>l</w:t>
      </w:r>
      <w:r w:rsidR="00A11DA7" w:rsidRPr="00722C3D">
        <w:rPr>
          <w:rFonts w:cstheme="minorHAnsi"/>
          <w:color w:val="001F47"/>
        </w:rPr>
        <w:t xml:space="preserve">th </w:t>
      </w:r>
      <w:r w:rsidR="00B95F6E" w:rsidRPr="00722C3D">
        <w:rPr>
          <w:rFonts w:cstheme="minorHAnsi"/>
          <w:color w:val="001F47"/>
        </w:rPr>
        <w:t xml:space="preserve">workforce planning and </w:t>
      </w:r>
      <w:r w:rsidR="007C0F67" w:rsidRPr="00722C3D">
        <w:rPr>
          <w:rFonts w:cstheme="minorHAnsi"/>
          <w:color w:val="001F47"/>
        </w:rPr>
        <w:t xml:space="preserve">the requisite </w:t>
      </w:r>
      <w:r w:rsidR="00E81C33" w:rsidRPr="00722C3D">
        <w:rPr>
          <w:rFonts w:cstheme="minorHAnsi"/>
          <w:color w:val="001F47"/>
        </w:rPr>
        <w:t xml:space="preserve">health </w:t>
      </w:r>
      <w:r w:rsidR="00A11DA7" w:rsidRPr="00722C3D">
        <w:rPr>
          <w:rFonts w:cstheme="minorHAnsi"/>
          <w:color w:val="001F47"/>
        </w:rPr>
        <w:t>professional education and training</w:t>
      </w:r>
      <w:r w:rsidR="00384DC8">
        <w:rPr>
          <w:rFonts w:cstheme="minorHAnsi"/>
          <w:color w:val="001F47"/>
        </w:rPr>
        <w:t>,</w:t>
      </w:r>
      <w:r w:rsidR="00E70C2F" w:rsidRPr="00722C3D">
        <w:rPr>
          <w:rFonts w:cstheme="minorHAnsi"/>
          <w:color w:val="001F47"/>
        </w:rPr>
        <w:t xml:space="preserve"> offers significant scope </w:t>
      </w:r>
      <w:r w:rsidR="00A06A05" w:rsidRPr="00722C3D">
        <w:rPr>
          <w:rFonts w:cstheme="minorHAnsi"/>
          <w:color w:val="001F47"/>
        </w:rPr>
        <w:t xml:space="preserve">for advancement. </w:t>
      </w:r>
    </w:p>
    <w:p w14:paraId="036A0B2A" w14:textId="6E9BBC19" w:rsidR="00A01C21" w:rsidRPr="000C60DB" w:rsidRDefault="00A01C21" w:rsidP="00A01C21">
      <w:pPr>
        <w:spacing w:after="0" w:line="288" w:lineRule="auto"/>
        <w:rPr>
          <w:rFonts w:cstheme="minorHAnsi"/>
        </w:rPr>
      </w:pPr>
      <w:r>
        <w:rPr>
          <w:rFonts w:cstheme="minorHAnsi"/>
        </w:rPr>
        <w:t xml:space="preserve">Establishing an enduring, overarching health workforce planning and education mechanism </w:t>
      </w:r>
      <w:r w:rsidRPr="000C60DB">
        <w:rPr>
          <w:rFonts w:cstheme="minorHAnsi"/>
        </w:rPr>
        <w:t xml:space="preserve">will support the APS </w:t>
      </w:r>
      <w:r>
        <w:rPr>
          <w:rFonts w:cstheme="minorHAnsi"/>
        </w:rPr>
        <w:t>to</w:t>
      </w:r>
      <w:r w:rsidRPr="000C60DB">
        <w:rPr>
          <w:rFonts w:cstheme="minorHAnsi"/>
        </w:rPr>
        <w:t xml:space="preserve"> develop </w:t>
      </w:r>
      <w:r w:rsidR="004D41DB">
        <w:rPr>
          <w:rFonts w:cstheme="minorHAnsi"/>
        </w:rPr>
        <w:t xml:space="preserve">these </w:t>
      </w:r>
      <w:r w:rsidRPr="000C60DB">
        <w:rPr>
          <w:rFonts w:cstheme="minorHAnsi"/>
        </w:rPr>
        <w:t xml:space="preserve">more connected policy approaches to </w:t>
      </w:r>
      <w:r w:rsidR="004D41DB">
        <w:rPr>
          <w:rFonts w:cstheme="minorHAnsi"/>
        </w:rPr>
        <w:t xml:space="preserve">both the overall system and to </w:t>
      </w:r>
      <w:r w:rsidRPr="000C60DB">
        <w:rPr>
          <w:rFonts w:cstheme="minorHAnsi"/>
        </w:rPr>
        <w:t xml:space="preserve">health </w:t>
      </w:r>
      <w:r w:rsidRPr="000C60DB">
        <w:rPr>
          <w:rFonts w:cstheme="minorHAnsi"/>
        </w:rPr>
        <w:lastRenderedPageBreak/>
        <w:t>professional education and workforce planning in key areas of identified workforce need</w:t>
      </w:r>
      <w:r>
        <w:rPr>
          <w:rFonts w:cstheme="minorHAnsi"/>
        </w:rPr>
        <w:t>/</w:t>
      </w:r>
      <w:r w:rsidRPr="000C60DB">
        <w:rPr>
          <w:rFonts w:cstheme="minorHAnsi"/>
        </w:rPr>
        <w:t>growth</w:t>
      </w:r>
      <w:r>
        <w:rPr>
          <w:rFonts w:cstheme="minorHAnsi"/>
        </w:rPr>
        <w:t xml:space="preserve"> such as </w:t>
      </w:r>
      <w:r w:rsidR="00B95091">
        <w:rPr>
          <w:rFonts w:cstheme="minorHAnsi"/>
        </w:rPr>
        <w:t>aged-care</w:t>
      </w:r>
      <w:r w:rsidRPr="000C60DB">
        <w:rPr>
          <w:rFonts w:cstheme="minorHAnsi"/>
        </w:rPr>
        <w:t xml:space="preserve"> and disability. </w:t>
      </w:r>
      <w:r>
        <w:rPr>
          <w:rFonts w:cstheme="minorHAnsi"/>
        </w:rPr>
        <w:t xml:space="preserve">It will enable the APS to respond </w:t>
      </w:r>
      <w:r w:rsidRPr="00FF58C1">
        <w:rPr>
          <w:rFonts w:cstheme="minorHAnsi"/>
          <w:i/>
        </w:rPr>
        <w:t>as a system</w:t>
      </w:r>
      <w:r>
        <w:rPr>
          <w:rFonts w:cstheme="minorHAnsi"/>
        </w:rPr>
        <w:t xml:space="preserve"> to rapidly changing health workforce and corresponding education and training needs. This will be key in a world increasingly connected through technology, where changes made in one area of the system impact on another related area and where the health workforce needs to be flexible, modern, intelligent and data-driven.</w:t>
      </w:r>
    </w:p>
    <w:p w14:paraId="708F422E" w14:textId="06055B8A" w:rsidR="00A01C21" w:rsidRDefault="00A01C21" w:rsidP="00A01C21">
      <w:pPr>
        <w:spacing w:after="0" w:line="288" w:lineRule="auto"/>
        <w:rPr>
          <w:rFonts w:cstheme="minorHAnsi"/>
        </w:rPr>
      </w:pPr>
      <w:r>
        <w:rPr>
          <w:rFonts w:cstheme="minorHAnsi"/>
        </w:rPr>
        <w:t xml:space="preserve">The need for such connected approaches is recognised and endorsed by the </w:t>
      </w:r>
      <w:r w:rsidRPr="000C60DB">
        <w:rPr>
          <w:rFonts w:cstheme="minorHAnsi"/>
        </w:rPr>
        <w:t xml:space="preserve">World Health Organisation </w:t>
      </w:r>
      <w:r>
        <w:rPr>
          <w:rFonts w:cstheme="minorHAnsi"/>
        </w:rPr>
        <w:t xml:space="preserve">(WHO) which recommends that, for the </w:t>
      </w:r>
      <w:r w:rsidRPr="000C60DB">
        <w:rPr>
          <w:rFonts w:cstheme="minorHAnsi"/>
        </w:rPr>
        <w:t>education and training of health professionals</w:t>
      </w:r>
      <w:r>
        <w:rPr>
          <w:rFonts w:cstheme="minorHAnsi"/>
        </w:rPr>
        <w:t>, in each country there is:</w:t>
      </w:r>
    </w:p>
    <w:p w14:paraId="42EADF70" w14:textId="77777777" w:rsidR="00A01C21" w:rsidRPr="007B5AD1" w:rsidRDefault="00A01C21" w:rsidP="00230A00">
      <w:pPr>
        <w:pStyle w:val="Bullet1"/>
      </w:pPr>
      <w:r w:rsidRPr="007B5AD1">
        <w:t>formal collaboration and shared accountability between the ministries of health and education (and other related ministries where required) at national</w:t>
      </w:r>
      <w:r>
        <w:t>/</w:t>
      </w:r>
      <w:r w:rsidRPr="007B5AD1">
        <w:t xml:space="preserve">sub-national levels; and </w:t>
      </w:r>
    </w:p>
    <w:p w14:paraId="478AA7ED" w14:textId="77777777" w:rsidR="00A01C21" w:rsidRDefault="00A01C21" w:rsidP="00230A00">
      <w:pPr>
        <w:pStyle w:val="Bullet1"/>
      </w:pPr>
      <w:r w:rsidRPr="007B5AD1">
        <w:t>a national plan to produce and retain</w:t>
      </w:r>
      <w:r>
        <w:t xml:space="preserve"> health professional</w:t>
      </w:r>
      <w:r w:rsidRPr="007B5AD1">
        <w:t xml:space="preserve"> graduates, developed in consultation with stakeholders, informed by the absorptive need of the labour market and aligned with an overarching national health plan</w:t>
      </w:r>
      <w:r w:rsidRPr="000C60DB">
        <w:rPr>
          <w:rStyle w:val="EndnoteReference"/>
          <w:rFonts w:cstheme="minorHAnsi"/>
        </w:rPr>
        <w:endnoteReference w:id="5"/>
      </w:r>
      <w:r w:rsidRPr="007B5AD1">
        <w:t xml:space="preserve">.  </w:t>
      </w:r>
    </w:p>
    <w:p w14:paraId="496B6B5F" w14:textId="5CF32DE8" w:rsidR="00A01C21" w:rsidRDefault="00BD00F4" w:rsidP="00A01C21">
      <w:pPr>
        <w:spacing w:after="0" w:line="288" w:lineRule="auto"/>
        <w:rPr>
          <w:rFonts w:cstheme="minorHAnsi"/>
        </w:rPr>
      </w:pPr>
      <w:r>
        <w:rPr>
          <w:rFonts w:cstheme="minorHAnsi"/>
        </w:rPr>
        <w:t>S</w:t>
      </w:r>
      <w:r w:rsidR="00A01C21">
        <w:rPr>
          <w:rFonts w:cstheme="minorHAnsi"/>
        </w:rPr>
        <w:t>ilos in health and education also relate to stakeholders beyond the APS. One device that previously helped address such silos was the former Health Workforce Australia (HWA). HWA brought multiple governments, sectors and health and education stakeholders together to build h</w:t>
      </w:r>
      <w:r w:rsidR="00A01C21">
        <w:t xml:space="preserve">ealth workforce capacity and skills development for more effective, efficient and accessible service delivery. HWA took a </w:t>
      </w:r>
      <w:r w:rsidR="00A01C21">
        <w:rPr>
          <w:rFonts w:cstheme="minorHAnsi"/>
        </w:rPr>
        <w:t xml:space="preserve">systems approach to </w:t>
      </w:r>
      <w:r w:rsidR="00A01C21">
        <w:t xml:space="preserve">health workforce planning, policy development, regulation review and funding, supported by relevant </w:t>
      </w:r>
      <w:r w:rsidR="00A01C21" w:rsidRPr="000C5E6B">
        <w:rPr>
          <w:rFonts w:cstheme="minorHAnsi"/>
        </w:rPr>
        <w:t>clinical education and training reform</w:t>
      </w:r>
      <w:r w:rsidR="00A01C21">
        <w:rPr>
          <w:rFonts w:cstheme="minorHAnsi"/>
        </w:rPr>
        <w:t xml:space="preserve"> </w:t>
      </w:r>
      <w:r w:rsidR="004F514A">
        <w:rPr>
          <w:rFonts w:cstheme="minorHAnsi"/>
        </w:rPr>
        <w:t>—</w:t>
      </w:r>
      <w:r w:rsidR="00A01C21">
        <w:rPr>
          <w:rFonts w:cstheme="minorHAnsi"/>
        </w:rPr>
        <w:t xml:space="preserve"> to build capacity, </w:t>
      </w:r>
      <w:r w:rsidR="00A01C21" w:rsidRPr="000C5E6B">
        <w:rPr>
          <w:rFonts w:cstheme="minorHAnsi"/>
        </w:rPr>
        <w:t>boost productivity</w:t>
      </w:r>
      <w:r w:rsidR="00A01C21">
        <w:rPr>
          <w:rFonts w:cstheme="minorHAnsi"/>
        </w:rPr>
        <w:t xml:space="preserve"> and</w:t>
      </w:r>
      <w:r w:rsidR="00A01C21" w:rsidRPr="00B34C5E">
        <w:rPr>
          <w:rFonts w:cstheme="minorHAnsi"/>
        </w:rPr>
        <w:t xml:space="preserve"> </w:t>
      </w:r>
      <w:r w:rsidR="00A01C21" w:rsidRPr="000C5E6B">
        <w:rPr>
          <w:rFonts w:cstheme="minorHAnsi"/>
        </w:rPr>
        <w:t xml:space="preserve">improve </w:t>
      </w:r>
      <w:r w:rsidR="00A01C21">
        <w:rPr>
          <w:rFonts w:cstheme="minorHAnsi"/>
        </w:rPr>
        <w:t xml:space="preserve">health workforce </w:t>
      </w:r>
      <w:r w:rsidR="00A01C21" w:rsidRPr="000C5E6B">
        <w:rPr>
          <w:rFonts w:cstheme="minorHAnsi"/>
        </w:rPr>
        <w:t>distribution</w:t>
      </w:r>
      <w:r w:rsidR="00A01C21">
        <w:rPr>
          <w:rFonts w:cstheme="minorHAnsi"/>
        </w:rPr>
        <w:t>.</w:t>
      </w:r>
    </w:p>
    <w:p w14:paraId="4199AEB9" w14:textId="1E7B3FE5" w:rsidR="00A01C21" w:rsidRDefault="00A01C21" w:rsidP="00A01C21">
      <w:pPr>
        <w:spacing w:after="0" w:line="288" w:lineRule="auto"/>
        <w:rPr>
          <w:rFonts w:cstheme="minorHAnsi"/>
        </w:rPr>
      </w:pPr>
      <w:r>
        <w:rPr>
          <w:rFonts w:cstheme="minorHAnsi"/>
        </w:rPr>
        <w:t xml:space="preserve">As a structure of Government, HWA enabled the APS to be forward-facing in relation to health workforce challenges and their associated changes in education requirements. It provided a means by which policy and regulatory developments in both sectors could be more in step. HWA no longer exists however, </w:t>
      </w:r>
      <w:r w:rsidRPr="005B0807">
        <w:rPr>
          <w:rFonts w:cstheme="minorHAnsi"/>
        </w:rPr>
        <w:t xml:space="preserve">our workforce challenges remain </w:t>
      </w:r>
      <w:r w:rsidRPr="005E7727">
        <w:rPr>
          <w:rFonts w:cstheme="minorHAnsi"/>
        </w:rPr>
        <w:t>and will likely grow and change as we contend with greater digital disruption</w:t>
      </w:r>
      <w:r w:rsidR="00F474CB">
        <w:rPr>
          <w:rFonts w:cstheme="minorHAnsi"/>
        </w:rPr>
        <w:t xml:space="preserve">, an ageing population </w:t>
      </w:r>
      <w:r w:rsidRPr="005E7727">
        <w:rPr>
          <w:rFonts w:cstheme="minorHAnsi"/>
        </w:rPr>
        <w:t xml:space="preserve">and increasingly globalised education and health service markets. </w:t>
      </w:r>
    </w:p>
    <w:p w14:paraId="4495E75F" w14:textId="32D699C7" w:rsidR="00A01C21" w:rsidRDefault="00A01C21" w:rsidP="00A01C21">
      <w:pPr>
        <w:spacing w:after="0" w:line="288" w:lineRule="auto"/>
        <w:rPr>
          <w:rFonts w:cstheme="minorHAnsi"/>
        </w:rPr>
      </w:pPr>
      <w:r>
        <w:rPr>
          <w:rFonts w:cstheme="minorHAnsi"/>
        </w:rPr>
        <w:t xml:space="preserve">Another HWA is not necessarily the answer </w:t>
      </w:r>
      <w:r w:rsidR="001270D7">
        <w:rPr>
          <w:rFonts w:cstheme="minorHAnsi"/>
        </w:rPr>
        <w:t>—</w:t>
      </w:r>
      <w:r>
        <w:rPr>
          <w:rFonts w:cstheme="minorHAnsi"/>
        </w:rPr>
        <w:t xml:space="preserve"> although a similar structure, Health Education England</w:t>
      </w:r>
      <w:r w:rsidR="00570735">
        <w:rPr>
          <w:rStyle w:val="EndnoteReference"/>
          <w:rFonts w:cstheme="minorHAnsi"/>
        </w:rPr>
        <w:endnoteReference w:id="6"/>
      </w:r>
      <w:r>
        <w:rPr>
          <w:rFonts w:cstheme="minorHAnsi"/>
        </w:rPr>
        <w:t xml:space="preserve">, is used to good effect in the UK. However, an enduring mechanism that brings health, education and other stakeholders together on a regular basis across disciplines and sectors to enable cross-portfolio, multi-sectoral discussions on </w:t>
      </w:r>
      <w:r w:rsidR="00471B86">
        <w:rPr>
          <w:rFonts w:cstheme="minorHAnsi"/>
        </w:rPr>
        <w:t xml:space="preserve">system connectivity and </w:t>
      </w:r>
      <w:r>
        <w:rPr>
          <w:rFonts w:cstheme="minorHAnsi"/>
        </w:rPr>
        <w:t xml:space="preserve">future health workforce development is </w:t>
      </w:r>
      <w:proofErr w:type="gramStart"/>
      <w:r>
        <w:rPr>
          <w:rFonts w:cstheme="minorHAnsi"/>
        </w:rPr>
        <w:t>definitely needed</w:t>
      </w:r>
      <w:proofErr w:type="gramEnd"/>
      <w:r>
        <w:rPr>
          <w:rFonts w:cstheme="minorHAnsi"/>
        </w:rPr>
        <w:t>. Without such a mechanism, the APS will struggle to achieve system</w:t>
      </w:r>
      <w:r w:rsidR="00913F83">
        <w:rPr>
          <w:rFonts w:cstheme="minorHAnsi"/>
        </w:rPr>
        <w:t>-</w:t>
      </w:r>
      <w:r>
        <w:rPr>
          <w:rFonts w:cstheme="minorHAnsi"/>
        </w:rPr>
        <w:t xml:space="preserve">level policy development and implementation that will adequately address our ongoing and new challenges in keeping Australians well and contributing to the broader economy and society.  </w:t>
      </w:r>
    </w:p>
    <w:p w14:paraId="58727FDB" w14:textId="4FBBE3C7" w:rsidR="00A01C21" w:rsidRDefault="00A01C21" w:rsidP="00A01C21">
      <w:pPr>
        <w:autoSpaceDE w:val="0"/>
        <w:autoSpaceDN w:val="0"/>
        <w:adjustRightInd w:val="0"/>
        <w:spacing w:after="0" w:line="288" w:lineRule="auto"/>
        <w:rPr>
          <w:rFonts w:cstheme="minorHAnsi"/>
          <w:i/>
        </w:rPr>
      </w:pPr>
      <w:r>
        <w:rPr>
          <w:rFonts w:cstheme="minorHAnsi"/>
        </w:rPr>
        <w:t xml:space="preserve">To address our future health workforce needs, UA strongly recommends that the Australian APS adopts </w:t>
      </w:r>
      <w:r w:rsidR="00471B86">
        <w:rPr>
          <w:rFonts w:cstheme="minorHAnsi"/>
        </w:rPr>
        <w:t xml:space="preserve">an approach in line with </w:t>
      </w:r>
      <w:r>
        <w:rPr>
          <w:rFonts w:cstheme="minorHAnsi"/>
        </w:rPr>
        <w:t>the WHO’s recommendation for “…</w:t>
      </w:r>
      <w:r w:rsidR="009C5135" w:rsidRPr="009C5135">
        <w:rPr>
          <w:rFonts w:cstheme="minorHAnsi"/>
          <w:i/>
        </w:rPr>
        <w:t xml:space="preserve">[a] </w:t>
      </w:r>
      <w:r w:rsidRPr="000C60DB">
        <w:rPr>
          <w:rFonts w:cstheme="minorHAnsi"/>
          <w:i/>
        </w:rPr>
        <w:t>regular and structured</w:t>
      </w:r>
      <w:r>
        <w:rPr>
          <w:rFonts w:cstheme="minorHAnsi"/>
          <w:i/>
        </w:rPr>
        <w:t xml:space="preserve"> </w:t>
      </w:r>
      <w:r w:rsidRPr="000C60DB">
        <w:rPr>
          <w:rFonts w:cstheme="minorHAnsi"/>
          <w:i/>
        </w:rPr>
        <w:t>mechanism</w:t>
      </w:r>
      <w:r w:rsidR="00715191">
        <w:rPr>
          <w:rFonts w:cstheme="minorHAnsi"/>
          <w:i/>
        </w:rPr>
        <w:t>(</w:t>
      </w:r>
      <w:r w:rsidRPr="000C60DB">
        <w:rPr>
          <w:rFonts w:cstheme="minorHAnsi"/>
          <w:i/>
        </w:rPr>
        <w:t>s</w:t>
      </w:r>
      <w:r w:rsidR="00715191">
        <w:rPr>
          <w:rFonts w:cstheme="minorHAnsi"/>
          <w:i/>
        </w:rPr>
        <w:t>)</w:t>
      </w:r>
      <w:r w:rsidRPr="000C60DB">
        <w:rPr>
          <w:rFonts w:cstheme="minorHAnsi"/>
          <w:i/>
        </w:rPr>
        <w:t xml:space="preserve"> for better collaboration between the education and health sectors, other national</w:t>
      </w:r>
      <w:r>
        <w:rPr>
          <w:rFonts w:cstheme="minorHAnsi"/>
          <w:i/>
        </w:rPr>
        <w:t xml:space="preserve"> </w:t>
      </w:r>
      <w:r w:rsidRPr="000C60DB">
        <w:rPr>
          <w:rFonts w:cstheme="minorHAnsi"/>
          <w:i/>
        </w:rPr>
        <w:t>authorities and the private sector with the intent to improve the match between health professionals’ education</w:t>
      </w:r>
      <w:r>
        <w:rPr>
          <w:rFonts w:cstheme="minorHAnsi"/>
          <w:i/>
        </w:rPr>
        <w:t>,</w:t>
      </w:r>
      <w:r w:rsidRPr="000C60DB">
        <w:rPr>
          <w:rFonts w:cstheme="minorHAnsi"/>
          <w:i/>
        </w:rPr>
        <w:t xml:space="preserve"> </w:t>
      </w:r>
      <w:r>
        <w:rPr>
          <w:rFonts w:cstheme="minorHAnsi"/>
          <w:i/>
        </w:rPr>
        <w:t xml:space="preserve">[workforce needs] </w:t>
      </w:r>
      <w:r w:rsidRPr="000C60DB">
        <w:rPr>
          <w:rFonts w:cstheme="minorHAnsi"/>
          <w:i/>
        </w:rPr>
        <w:t>and the realities of health service delivery.</w:t>
      </w:r>
      <w:r>
        <w:rPr>
          <w:rFonts w:cstheme="minorHAnsi"/>
          <w:i/>
        </w:rPr>
        <w:t>”</w:t>
      </w:r>
    </w:p>
    <w:p w14:paraId="7F337467" w14:textId="44B3C0A9" w:rsidR="00A01C21" w:rsidRDefault="00A01C21" w:rsidP="00A01C21">
      <w:pPr>
        <w:spacing w:after="0" w:line="288" w:lineRule="auto"/>
        <w:rPr>
          <w:rFonts w:cstheme="minorHAnsi"/>
        </w:rPr>
      </w:pPr>
      <w:r>
        <w:rPr>
          <w:rFonts w:cstheme="minorHAnsi"/>
        </w:rPr>
        <w:t xml:space="preserve">Such </w:t>
      </w:r>
      <w:r w:rsidR="00715191">
        <w:rPr>
          <w:rFonts w:cstheme="minorHAnsi"/>
        </w:rPr>
        <w:t xml:space="preserve">a </w:t>
      </w:r>
      <w:r>
        <w:rPr>
          <w:rFonts w:cstheme="minorHAnsi"/>
        </w:rPr>
        <w:t xml:space="preserve">mechanism must </w:t>
      </w:r>
      <w:proofErr w:type="gramStart"/>
      <w:r>
        <w:rPr>
          <w:rFonts w:cstheme="minorHAnsi"/>
        </w:rPr>
        <w:t>take into account</w:t>
      </w:r>
      <w:proofErr w:type="gramEnd"/>
      <w:r w:rsidR="004C3717">
        <w:rPr>
          <w:rFonts w:cstheme="minorHAnsi"/>
        </w:rPr>
        <w:t>:</w:t>
      </w:r>
    </w:p>
    <w:p w14:paraId="26093D0A" w14:textId="77777777" w:rsidR="00731BCA" w:rsidRDefault="00731BCA" w:rsidP="00230A00">
      <w:pPr>
        <w:pStyle w:val="Bullet1"/>
      </w:pPr>
      <w:r>
        <w:t>t</w:t>
      </w:r>
      <w:r w:rsidRPr="00635E14">
        <w:t xml:space="preserve">he need for an overarching health workforce development plan </w:t>
      </w:r>
      <w:r>
        <w:t xml:space="preserve">and </w:t>
      </w:r>
      <w:r w:rsidRPr="00635E14">
        <w:t>for accurate and reliable clinical training and workforce data</w:t>
      </w:r>
      <w:r>
        <w:t xml:space="preserve"> </w:t>
      </w:r>
      <w:r w:rsidRPr="00635E14">
        <w:t xml:space="preserve">across all </w:t>
      </w:r>
      <w:r>
        <w:t xml:space="preserve">sectors and </w:t>
      </w:r>
      <w:r w:rsidRPr="00635E14">
        <w:t>health disciplines</w:t>
      </w:r>
      <w:r>
        <w:t xml:space="preserve"> including consideration of:</w:t>
      </w:r>
    </w:p>
    <w:p w14:paraId="4B777EBA" w14:textId="09FA2439" w:rsidR="00731BCA" w:rsidRPr="00635E14" w:rsidRDefault="00731BCA" w:rsidP="00230A00">
      <w:pPr>
        <w:pStyle w:val="Bullet2"/>
      </w:pPr>
      <w:r>
        <w:t>t</w:t>
      </w:r>
      <w:r w:rsidRPr="00635E14">
        <w:t>he</w:t>
      </w:r>
      <w:r>
        <w:t xml:space="preserve"> professional and care workforce connections/overlaps </w:t>
      </w:r>
      <w:r w:rsidRPr="00635E14">
        <w:t xml:space="preserve">between the health, </w:t>
      </w:r>
      <w:r w:rsidR="00B95091">
        <w:t>aged-care</w:t>
      </w:r>
      <w:r w:rsidRPr="00635E14">
        <w:t xml:space="preserve"> and disability </w:t>
      </w:r>
      <w:r>
        <w:t>sectors;</w:t>
      </w:r>
    </w:p>
    <w:p w14:paraId="42457418" w14:textId="77777777" w:rsidR="00731BCA" w:rsidRDefault="00731BCA" w:rsidP="00230A00">
      <w:pPr>
        <w:pStyle w:val="Bullet2"/>
      </w:pPr>
      <w:r>
        <w:lastRenderedPageBreak/>
        <w:t xml:space="preserve">the identified need for an increased allied health professional workforce especially in the NDIS; </w:t>
      </w:r>
    </w:p>
    <w:p w14:paraId="7D83A457" w14:textId="56B293D2" w:rsidR="00731BCA" w:rsidRPr="00635E14" w:rsidRDefault="00731BCA" w:rsidP="00230A00">
      <w:pPr>
        <w:pStyle w:val="Bullet2"/>
      </w:pPr>
      <w:r>
        <w:t>t</w:t>
      </w:r>
      <w:r w:rsidRPr="00635E14">
        <w:t xml:space="preserve">he increasing role of technology and </w:t>
      </w:r>
      <w:r w:rsidR="00174793">
        <w:t>artificial intelligence</w:t>
      </w:r>
      <w:r w:rsidRPr="00635E14">
        <w:t xml:space="preserve"> in health service delivery </w:t>
      </w:r>
      <w:r>
        <w:t xml:space="preserve">and its implications for workforce and clinical education. </w:t>
      </w:r>
    </w:p>
    <w:p w14:paraId="3E44A5D3" w14:textId="77777777" w:rsidR="00731BCA" w:rsidRDefault="00731BCA" w:rsidP="00230A00">
      <w:pPr>
        <w:pStyle w:val="Bullet1"/>
      </w:pPr>
      <w:r>
        <w:t>the need for health and higher education policies to align to support predicted future health workforce and clinical education requirements. Considerations here would include:</w:t>
      </w:r>
    </w:p>
    <w:p w14:paraId="6A9A722E" w14:textId="77777777" w:rsidR="00731BCA" w:rsidRPr="00635E14" w:rsidRDefault="00731BCA" w:rsidP="00230A00">
      <w:pPr>
        <w:pStyle w:val="Bullet2"/>
      </w:pPr>
      <w:r>
        <w:t>review of current policy and f</w:t>
      </w:r>
      <w:r w:rsidRPr="00635E14">
        <w:t xml:space="preserve">unding mechanisms </w:t>
      </w:r>
      <w:r>
        <w:t>which obstruct, rather than support</w:t>
      </w:r>
      <w:r w:rsidRPr="00635E14">
        <w:t xml:space="preserve">, health student access </w:t>
      </w:r>
      <w:r>
        <w:t>to clinical education, especially in areas of identified workforce need (examples can be supplied);</w:t>
      </w:r>
    </w:p>
    <w:p w14:paraId="421B4972" w14:textId="77777777" w:rsidR="00731BCA" w:rsidRDefault="00731BCA" w:rsidP="00230A00">
      <w:pPr>
        <w:pStyle w:val="Bullet2"/>
      </w:pPr>
      <w:r>
        <w:t xml:space="preserve">policy to expand clinical placements beyond public hospitals to re-right the </w:t>
      </w:r>
      <w:r w:rsidRPr="00635E14">
        <w:t xml:space="preserve">mismatch between where health students train and where health </w:t>
      </w:r>
      <w:r>
        <w:t xml:space="preserve">professionals </w:t>
      </w:r>
      <w:r w:rsidRPr="00635E14">
        <w:t xml:space="preserve">work </w:t>
      </w:r>
      <w:r>
        <w:t>and/or are</w:t>
      </w:r>
      <w:r w:rsidRPr="00635E14">
        <w:t xml:space="preserve"> needed</w:t>
      </w:r>
      <w:r>
        <w:t xml:space="preserve">; </w:t>
      </w:r>
    </w:p>
    <w:p w14:paraId="2BDD621F" w14:textId="77777777" w:rsidR="00731BCA" w:rsidRPr="00635E14" w:rsidRDefault="00731BCA" w:rsidP="00230A00">
      <w:pPr>
        <w:pStyle w:val="Bullet2"/>
      </w:pPr>
      <w:r>
        <w:t>leveraging the benefits to future workforce development of health professional student placements</w:t>
      </w:r>
      <w:r w:rsidRPr="00F008DE">
        <w:t xml:space="preserve"> </w:t>
      </w:r>
      <w:r>
        <w:t xml:space="preserve">in health, aged and disability care settings and in different geographic locations; </w:t>
      </w:r>
    </w:p>
    <w:p w14:paraId="670A1294" w14:textId="7698C6F1" w:rsidR="00731BCA" w:rsidRDefault="00731BCA" w:rsidP="00230A00">
      <w:pPr>
        <w:pStyle w:val="Bullet2"/>
      </w:pPr>
      <w:r>
        <w:t xml:space="preserve">the non-transparent use of public hospital </w:t>
      </w:r>
      <w:r w:rsidRPr="00635E14">
        <w:t>teaching and training funding</w:t>
      </w:r>
      <w:r>
        <w:t xml:space="preserve"> and the significant inequities across disciplines and jurisdictions regarding clinical placement costs</w:t>
      </w:r>
      <w:r w:rsidR="007C7945">
        <w:t>; and</w:t>
      </w:r>
      <w:r>
        <w:t xml:space="preserve"> </w:t>
      </w:r>
    </w:p>
    <w:p w14:paraId="0877B75F" w14:textId="4478A6E6" w:rsidR="00731BCA" w:rsidRPr="00635E14" w:rsidRDefault="007C7945" w:rsidP="00230A00">
      <w:pPr>
        <w:pStyle w:val="Bullet2"/>
      </w:pPr>
      <w:r>
        <w:t>g</w:t>
      </w:r>
      <w:r w:rsidR="00731BCA">
        <w:t>reater delineation between university and health professional accreditation requirements</w:t>
      </w:r>
      <w:r>
        <w:t>.</w:t>
      </w:r>
    </w:p>
    <w:p w14:paraId="73C277CC" w14:textId="460CE31C" w:rsidR="00731BCA" w:rsidRDefault="00731BCA" w:rsidP="00230A00">
      <w:pPr>
        <w:pStyle w:val="Bullet1"/>
      </w:pPr>
      <w:r>
        <w:t>t</w:t>
      </w:r>
      <w:r w:rsidRPr="00635E14">
        <w:t>he growing focus on interprofessional and multidisciplinary</w:t>
      </w:r>
      <w:r>
        <w:t xml:space="preserve"> service delivery</w:t>
      </w:r>
      <w:r w:rsidRPr="00635E14">
        <w:t xml:space="preserve"> in areas such as chronic disease</w:t>
      </w:r>
      <w:r>
        <w:t xml:space="preserve"> and rehabilitation, its implications for clinical supervision, scopes of practice and workforce;</w:t>
      </w:r>
      <w:r w:rsidR="00086C1F">
        <w:t xml:space="preserve"> and</w:t>
      </w:r>
    </w:p>
    <w:p w14:paraId="067AC779" w14:textId="77777777" w:rsidR="00731BCA" w:rsidRPr="00635E14" w:rsidRDefault="00731BCA" w:rsidP="00230A00">
      <w:pPr>
        <w:pStyle w:val="Bullet1"/>
      </w:pPr>
      <w:r>
        <w:t>t</w:t>
      </w:r>
      <w:r w:rsidRPr="00635E14">
        <w:t xml:space="preserve">he need </w:t>
      </w:r>
      <w:r>
        <w:t xml:space="preserve">for effective preventative and </w:t>
      </w:r>
      <w:r w:rsidRPr="00635E14">
        <w:t>restorative approaches</w:t>
      </w:r>
      <w:r>
        <w:t xml:space="preserve"> in health, aged-care and disability and what this means for health workforce requirements and skill mixes.</w:t>
      </w:r>
    </w:p>
    <w:p w14:paraId="5A37178B" w14:textId="5729DAE5" w:rsidR="00A01C21" w:rsidRPr="000C60DB" w:rsidRDefault="00A01C21" w:rsidP="00A01C21">
      <w:pPr>
        <w:spacing w:after="0" w:line="288" w:lineRule="auto"/>
        <w:rPr>
          <w:rFonts w:cstheme="minorHAnsi"/>
        </w:rPr>
      </w:pPr>
      <w:r>
        <w:rPr>
          <w:rFonts w:cstheme="minorHAnsi"/>
        </w:rPr>
        <w:t xml:space="preserve">Other approaches that </w:t>
      </w:r>
      <w:r w:rsidRPr="000C60DB">
        <w:rPr>
          <w:rFonts w:cstheme="minorHAnsi"/>
        </w:rPr>
        <w:t xml:space="preserve">might </w:t>
      </w:r>
      <w:r>
        <w:rPr>
          <w:rFonts w:cstheme="minorHAnsi"/>
        </w:rPr>
        <w:t xml:space="preserve">also </w:t>
      </w:r>
      <w:r w:rsidRPr="000C60DB">
        <w:rPr>
          <w:rFonts w:cstheme="minorHAnsi"/>
        </w:rPr>
        <w:t>assist</w:t>
      </w:r>
      <w:r>
        <w:rPr>
          <w:rFonts w:cstheme="minorHAnsi"/>
        </w:rPr>
        <w:t xml:space="preserve"> the APS in developing effective multi-sectoral health workforce policy include</w:t>
      </w:r>
      <w:r w:rsidRPr="000C60DB">
        <w:rPr>
          <w:rFonts w:cstheme="minorHAnsi"/>
        </w:rPr>
        <w:t>:</w:t>
      </w:r>
    </w:p>
    <w:p w14:paraId="0E8F2849" w14:textId="2156D212" w:rsidR="00A01C21" w:rsidRPr="00E36429" w:rsidRDefault="00A01C21" w:rsidP="00230A00">
      <w:pPr>
        <w:pStyle w:val="Bullet1"/>
      </w:pPr>
      <w:r>
        <w:t xml:space="preserve">APS staff </w:t>
      </w:r>
      <w:r w:rsidRPr="00E36429">
        <w:t>secondments to cross-portfolio policy areas</w:t>
      </w:r>
      <w:r>
        <w:t>,</w:t>
      </w:r>
      <w:r w:rsidRPr="00E36429">
        <w:t xml:space="preserve"> </w:t>
      </w:r>
      <w:r w:rsidR="009A4916">
        <w:t>non-government organisations</w:t>
      </w:r>
      <w:r w:rsidRPr="00E36429">
        <w:t xml:space="preserve"> and private sectors and non-metropolitan locations to gain broader perspectives </w:t>
      </w:r>
      <w:r>
        <w:t>on multi-sectoral policy issues;</w:t>
      </w:r>
    </w:p>
    <w:p w14:paraId="25092481" w14:textId="3D888FF3" w:rsidR="00A01C21" w:rsidRPr="00E36429" w:rsidRDefault="00F85E27" w:rsidP="00230A00">
      <w:pPr>
        <w:pStyle w:val="Bullet1"/>
      </w:pPr>
      <w:r>
        <w:t>t</w:t>
      </w:r>
      <w:r w:rsidR="00A01C21">
        <w:t>he development of c</w:t>
      </w:r>
      <w:r w:rsidR="00A01C21" w:rsidRPr="00E36429">
        <w:t xml:space="preserve">omprehensive </w:t>
      </w:r>
      <w:r w:rsidR="00A01C21">
        <w:t xml:space="preserve">national </w:t>
      </w:r>
      <w:r w:rsidR="00A01C21" w:rsidRPr="00E36429">
        <w:t>clinical education and training data sets linked to workforce outcomes</w:t>
      </w:r>
      <w:r w:rsidR="00A01C21">
        <w:t>;</w:t>
      </w:r>
    </w:p>
    <w:p w14:paraId="6ACA343D" w14:textId="70A652BD" w:rsidR="00A01C21" w:rsidRPr="00E36429" w:rsidRDefault="00F85E27" w:rsidP="00230A00">
      <w:pPr>
        <w:pStyle w:val="Bullet1"/>
      </w:pPr>
      <w:r>
        <w:t>i</w:t>
      </w:r>
      <w:r w:rsidR="00A01C21">
        <w:t>nteroperability across different APS departments and levels of government to more easily facilitate i</w:t>
      </w:r>
      <w:r w:rsidR="00A01C21" w:rsidRPr="00E36429">
        <w:t>nterdepartmental data sharing</w:t>
      </w:r>
      <w:r w:rsidR="00A01C21">
        <w:t>;</w:t>
      </w:r>
      <w:r>
        <w:t xml:space="preserve"> and</w:t>
      </w:r>
    </w:p>
    <w:p w14:paraId="6A42FE05" w14:textId="0B01976B" w:rsidR="00A01C21" w:rsidRDefault="00F85E27" w:rsidP="00230A00">
      <w:pPr>
        <w:pStyle w:val="Bullet1"/>
      </w:pPr>
      <w:r>
        <w:t>p</w:t>
      </w:r>
      <w:r w:rsidR="00A01C21">
        <w:t xml:space="preserve">ublic access </w:t>
      </w:r>
      <w:r w:rsidR="00A01C21" w:rsidRPr="00E36429">
        <w:t xml:space="preserve">to </w:t>
      </w:r>
      <w:r w:rsidR="00A01C21">
        <w:t xml:space="preserve">clinical </w:t>
      </w:r>
      <w:r w:rsidR="00A01C21" w:rsidRPr="00E36429">
        <w:t>education</w:t>
      </w:r>
      <w:r w:rsidR="00A01C21">
        <w:t xml:space="preserve">, </w:t>
      </w:r>
      <w:r w:rsidR="00A01C21" w:rsidRPr="00E36429">
        <w:t xml:space="preserve">training and workforce data and evaluations so that </w:t>
      </w:r>
      <w:r w:rsidR="00A01C21">
        <w:t xml:space="preserve">lessons from publicly-funded trials and can be shared and applied in policy and practice. </w:t>
      </w:r>
    </w:p>
    <w:p w14:paraId="571AAA3A" w14:textId="0A1B3873" w:rsidR="00451C24" w:rsidRDefault="00451C24" w:rsidP="00451C24">
      <w:pPr>
        <w:pStyle w:val="Bullet1"/>
        <w:numPr>
          <w:ilvl w:val="0"/>
          <w:numId w:val="0"/>
        </w:numPr>
        <w:ind w:left="1134" w:hanging="567"/>
      </w:pPr>
    </w:p>
    <w:p w14:paraId="5151526B" w14:textId="0A60571A" w:rsidR="00451C24" w:rsidRDefault="00451C24" w:rsidP="00451C24">
      <w:pPr>
        <w:pStyle w:val="Bullet1"/>
        <w:numPr>
          <w:ilvl w:val="0"/>
          <w:numId w:val="0"/>
        </w:numPr>
        <w:ind w:left="1134" w:hanging="567"/>
      </w:pPr>
    </w:p>
    <w:p w14:paraId="2CFA44B5" w14:textId="1D47A705" w:rsidR="00451C24" w:rsidRDefault="00451C24" w:rsidP="00451C24">
      <w:pPr>
        <w:pStyle w:val="Bullet1"/>
        <w:numPr>
          <w:ilvl w:val="0"/>
          <w:numId w:val="0"/>
        </w:numPr>
        <w:ind w:left="1134" w:hanging="567"/>
      </w:pPr>
    </w:p>
    <w:p w14:paraId="60DF3D3C" w14:textId="78D9D872" w:rsidR="00451C24" w:rsidRDefault="00451C24" w:rsidP="00451C24">
      <w:pPr>
        <w:pStyle w:val="Bullet1"/>
        <w:numPr>
          <w:ilvl w:val="0"/>
          <w:numId w:val="0"/>
        </w:numPr>
        <w:ind w:left="1134" w:hanging="567"/>
      </w:pPr>
    </w:p>
    <w:p w14:paraId="58518167" w14:textId="73881A7B" w:rsidR="00451C24" w:rsidRDefault="00451C24" w:rsidP="00451C24">
      <w:pPr>
        <w:pStyle w:val="Bullet1"/>
        <w:numPr>
          <w:ilvl w:val="0"/>
          <w:numId w:val="0"/>
        </w:numPr>
        <w:ind w:left="1134" w:hanging="567"/>
      </w:pPr>
    </w:p>
    <w:p w14:paraId="476CE17C" w14:textId="77777777" w:rsidR="00451C24" w:rsidRDefault="00451C24" w:rsidP="00451C24">
      <w:pPr>
        <w:pStyle w:val="Bullet1"/>
        <w:numPr>
          <w:ilvl w:val="0"/>
          <w:numId w:val="0"/>
        </w:numPr>
        <w:ind w:left="1134" w:hanging="567"/>
      </w:pPr>
    </w:p>
    <w:p w14:paraId="5E41F993" w14:textId="5A30CDD1" w:rsidR="007E5BA5" w:rsidRDefault="00A01C21" w:rsidP="00416C46">
      <w:pPr>
        <w:pStyle w:val="RecommBoxHeading"/>
      </w:pPr>
      <w:r>
        <w:lastRenderedPageBreak/>
        <w:t>UA recommends that for the APS to undertake effective health workforce policy development:</w:t>
      </w:r>
    </w:p>
    <w:p w14:paraId="178E8CDF" w14:textId="62635E92" w:rsidR="00976DD6" w:rsidRDefault="00A01C21" w:rsidP="00007466">
      <w:pPr>
        <w:pStyle w:val="RecommBoxHeading"/>
      </w:pPr>
      <w:r>
        <w:t xml:space="preserve">A regular, ongoing and enduring </w:t>
      </w:r>
      <w:r w:rsidRPr="000C60DB">
        <w:t xml:space="preserve">mechanism for </w:t>
      </w:r>
      <w:r>
        <w:t xml:space="preserve">close </w:t>
      </w:r>
      <w:r w:rsidRPr="000C60DB">
        <w:t>collaboration between the education and health</w:t>
      </w:r>
      <w:r w:rsidR="001C2977">
        <w:t>, aged and disability</w:t>
      </w:r>
      <w:r w:rsidRPr="000C60DB">
        <w:t xml:space="preserve"> sectors, other national</w:t>
      </w:r>
      <w:r>
        <w:t>/</w:t>
      </w:r>
      <w:r w:rsidR="005C06E8">
        <w:t>state</w:t>
      </w:r>
      <w:r>
        <w:t xml:space="preserve"> </w:t>
      </w:r>
      <w:r w:rsidRPr="000C60DB">
        <w:t>a</w:t>
      </w:r>
      <w:r w:rsidR="00F0649E">
        <w:t>gencies</w:t>
      </w:r>
      <w:r w:rsidRPr="000C60DB">
        <w:t xml:space="preserve"> and the private sector </w:t>
      </w:r>
      <w:r w:rsidR="00A34CDE">
        <w:t>is</w:t>
      </w:r>
      <w:r>
        <w:t xml:space="preserve"> established</w:t>
      </w:r>
      <w:r w:rsidR="00376B0D">
        <w:t xml:space="preserve">. </w:t>
      </w:r>
    </w:p>
    <w:p w14:paraId="5E946A90" w14:textId="5CBB5C14" w:rsidR="00A01C21" w:rsidRDefault="00376B0D" w:rsidP="00007466">
      <w:pPr>
        <w:pStyle w:val="RecommBoxHeading"/>
      </w:pPr>
      <w:r>
        <w:t xml:space="preserve">The goal of this mechanism would be to </w:t>
      </w:r>
      <w:r w:rsidR="00A01C21" w:rsidRPr="000C60DB">
        <w:t>improve the match between health professional education</w:t>
      </w:r>
      <w:r w:rsidR="00A01C21">
        <w:t>,</w:t>
      </w:r>
      <w:r w:rsidR="00A01C21" w:rsidRPr="000C60DB">
        <w:t xml:space="preserve"> </w:t>
      </w:r>
      <w:r w:rsidR="00A01C21">
        <w:t xml:space="preserve">workforce needs </w:t>
      </w:r>
      <w:r w:rsidR="00A01C21" w:rsidRPr="000C60DB">
        <w:t xml:space="preserve">and the </w:t>
      </w:r>
      <w:r w:rsidR="00A01C21">
        <w:t xml:space="preserve">evolving </w:t>
      </w:r>
      <w:r w:rsidR="00A01C21" w:rsidRPr="000C60DB">
        <w:t>realities of health service delivery</w:t>
      </w:r>
      <w:r w:rsidR="00A01C21">
        <w:t>.</w:t>
      </w:r>
    </w:p>
    <w:p w14:paraId="574AA1A2" w14:textId="33FBFF80" w:rsidR="001C2977" w:rsidRPr="000609CB" w:rsidRDefault="001C2977" w:rsidP="00007466">
      <w:pPr>
        <w:pStyle w:val="RecommBoxHeading"/>
      </w:pPr>
      <w:r w:rsidRPr="000609CB">
        <w:t>Collaborative work would be supported through access to comprehensive</w:t>
      </w:r>
      <w:r w:rsidR="000609CB" w:rsidRPr="000609CB">
        <w:t>,</w:t>
      </w:r>
      <w:r w:rsidRPr="000609CB">
        <w:t xml:space="preserve"> shared workforce and clinical education and training data across all disciplines.</w:t>
      </w:r>
    </w:p>
    <w:p w14:paraId="49705253" w14:textId="77777777" w:rsidR="00451C24" w:rsidRDefault="00451C24" w:rsidP="000609CB">
      <w:pPr>
        <w:spacing w:after="0"/>
        <w:rPr>
          <w:b/>
        </w:rPr>
      </w:pPr>
    </w:p>
    <w:p w14:paraId="3D1418A9" w14:textId="77777777" w:rsidR="00451C24" w:rsidRDefault="00451C24" w:rsidP="000609CB">
      <w:pPr>
        <w:spacing w:after="0"/>
        <w:rPr>
          <w:b/>
        </w:rPr>
      </w:pPr>
    </w:p>
    <w:p w14:paraId="137C7A4A" w14:textId="77777777" w:rsidR="00451C24" w:rsidRDefault="00451C24" w:rsidP="000609CB">
      <w:pPr>
        <w:spacing w:after="0"/>
        <w:rPr>
          <w:b/>
        </w:rPr>
      </w:pPr>
    </w:p>
    <w:p w14:paraId="54746D37" w14:textId="77777777" w:rsidR="00451C24" w:rsidRDefault="00451C24" w:rsidP="000609CB">
      <w:pPr>
        <w:spacing w:after="0"/>
        <w:rPr>
          <w:b/>
        </w:rPr>
      </w:pPr>
    </w:p>
    <w:p w14:paraId="76FE2F1C" w14:textId="77777777" w:rsidR="00451C24" w:rsidRDefault="00451C24" w:rsidP="000609CB">
      <w:pPr>
        <w:spacing w:after="0"/>
        <w:rPr>
          <w:b/>
        </w:rPr>
      </w:pPr>
    </w:p>
    <w:p w14:paraId="76A7D52A" w14:textId="77777777" w:rsidR="00451C24" w:rsidRDefault="00451C24" w:rsidP="000609CB">
      <w:pPr>
        <w:spacing w:after="0"/>
        <w:rPr>
          <w:b/>
        </w:rPr>
      </w:pPr>
    </w:p>
    <w:p w14:paraId="26FF978F" w14:textId="77777777" w:rsidR="00451C24" w:rsidRDefault="00451C24" w:rsidP="000609CB">
      <w:pPr>
        <w:spacing w:after="0"/>
        <w:rPr>
          <w:b/>
        </w:rPr>
      </w:pPr>
    </w:p>
    <w:p w14:paraId="3030AEF1" w14:textId="77777777" w:rsidR="00451C24" w:rsidRDefault="00451C24" w:rsidP="000609CB">
      <w:pPr>
        <w:spacing w:after="0"/>
        <w:rPr>
          <w:b/>
        </w:rPr>
      </w:pPr>
    </w:p>
    <w:p w14:paraId="1CA6BBF7" w14:textId="77777777" w:rsidR="00451C24" w:rsidRDefault="00451C24" w:rsidP="000609CB">
      <w:pPr>
        <w:spacing w:after="0"/>
        <w:rPr>
          <w:b/>
        </w:rPr>
      </w:pPr>
    </w:p>
    <w:p w14:paraId="2217DD95" w14:textId="77777777" w:rsidR="00451C24" w:rsidRDefault="00451C24" w:rsidP="000609CB">
      <w:pPr>
        <w:spacing w:after="0"/>
        <w:rPr>
          <w:b/>
        </w:rPr>
      </w:pPr>
    </w:p>
    <w:p w14:paraId="08EE800F" w14:textId="77777777" w:rsidR="00451C24" w:rsidRDefault="00451C24" w:rsidP="000609CB">
      <w:pPr>
        <w:spacing w:after="0"/>
        <w:rPr>
          <w:b/>
        </w:rPr>
      </w:pPr>
    </w:p>
    <w:p w14:paraId="1D963480" w14:textId="77777777" w:rsidR="00451C24" w:rsidRDefault="00451C24" w:rsidP="000609CB">
      <w:pPr>
        <w:spacing w:after="0"/>
        <w:rPr>
          <w:b/>
        </w:rPr>
      </w:pPr>
    </w:p>
    <w:p w14:paraId="29FB1375" w14:textId="77777777" w:rsidR="00451C24" w:rsidRDefault="00451C24" w:rsidP="000609CB">
      <w:pPr>
        <w:spacing w:after="0"/>
        <w:rPr>
          <w:b/>
        </w:rPr>
      </w:pPr>
    </w:p>
    <w:p w14:paraId="00296693" w14:textId="444FA4CC" w:rsidR="0043582B" w:rsidRPr="00A01C21" w:rsidRDefault="00A01C21" w:rsidP="000609CB">
      <w:pPr>
        <w:spacing w:after="0"/>
        <w:rPr>
          <w:b/>
        </w:rPr>
      </w:pPr>
      <w:r w:rsidRPr="00A01C21">
        <w:rPr>
          <w:b/>
        </w:rPr>
        <w:t xml:space="preserve">REFERENCES </w:t>
      </w:r>
    </w:p>
    <w:sectPr w:rsidR="0043582B" w:rsidRPr="00A01C21" w:rsidSect="00B61243">
      <w:headerReference w:type="even" r:id="rId13"/>
      <w:headerReference w:type="default" r:id="rId14"/>
      <w:footerReference w:type="default" r:id="rId15"/>
      <w:headerReference w:type="first" r:id="rId16"/>
      <w:footerReference w:type="first" r:id="rId17"/>
      <w:pgSz w:w="11906" w:h="16838" w:code="9"/>
      <w:pgMar w:top="1702" w:right="707" w:bottom="1418" w:left="1701" w:header="567"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E0CE" w14:textId="77777777" w:rsidR="000D04A5" w:rsidRDefault="000D04A5" w:rsidP="00C31D61">
      <w:pPr>
        <w:spacing w:before="0" w:after="0" w:line="240" w:lineRule="auto"/>
      </w:pPr>
      <w:r>
        <w:separator/>
      </w:r>
    </w:p>
  </w:endnote>
  <w:endnote w:type="continuationSeparator" w:id="0">
    <w:p w14:paraId="107E3FA2" w14:textId="77777777" w:rsidR="000D04A5" w:rsidRDefault="000D04A5" w:rsidP="00C31D61">
      <w:pPr>
        <w:spacing w:before="0" w:after="0" w:line="240" w:lineRule="auto"/>
      </w:pPr>
      <w:r>
        <w:continuationSeparator/>
      </w:r>
    </w:p>
  </w:endnote>
  <w:endnote w:type="continuationNotice" w:id="1">
    <w:p w14:paraId="1D2432BE" w14:textId="77777777" w:rsidR="000D04A5" w:rsidRDefault="000D04A5">
      <w:pPr>
        <w:spacing w:before="0" w:after="0" w:line="240" w:lineRule="auto"/>
      </w:pPr>
    </w:p>
  </w:endnote>
  <w:endnote w:id="2">
    <w:p w14:paraId="2717FB61" w14:textId="77777777" w:rsidR="00A01C21" w:rsidRPr="00DA3F52" w:rsidRDefault="00A01C21" w:rsidP="00B47BCB">
      <w:pPr>
        <w:spacing w:before="60" w:after="0" w:line="240" w:lineRule="auto"/>
        <w:rPr>
          <w:szCs w:val="20"/>
        </w:rPr>
      </w:pPr>
      <w:r w:rsidRPr="00DA3F52">
        <w:rPr>
          <w:rStyle w:val="EndnoteReference"/>
          <w:szCs w:val="20"/>
        </w:rPr>
        <w:endnoteRef/>
      </w:r>
      <w:r w:rsidRPr="00DA3F52">
        <w:rPr>
          <w:szCs w:val="20"/>
        </w:rPr>
        <w:t xml:space="preserve"> McPake B, Squires A, Mahat, A and Araujo E. 2015. World Bank Group. The Economics of Health Professional Education and Careers: Insights from a Literature Review: </w:t>
      </w:r>
      <w:hyperlink r:id="rId1" w:history="1">
        <w:r w:rsidRPr="00DA3F52">
          <w:rPr>
            <w:rStyle w:val="Hyperlink"/>
            <w:szCs w:val="20"/>
          </w:rPr>
          <w:t>https://bit.ly/2Nx3mYk</w:t>
        </w:r>
      </w:hyperlink>
    </w:p>
  </w:endnote>
  <w:endnote w:id="3">
    <w:p w14:paraId="5E1391DA" w14:textId="77777777" w:rsidR="00A01C21" w:rsidRPr="00DA3F52" w:rsidRDefault="00A01C21" w:rsidP="00A01C21">
      <w:pPr>
        <w:pStyle w:val="EndnoteText"/>
      </w:pPr>
      <w:r w:rsidRPr="00BF5B30">
        <w:rPr>
          <w:color w:val="001F47" w:themeColor="text2"/>
          <w:vertAlign w:val="superscript"/>
        </w:rPr>
        <w:endnoteRef/>
      </w:r>
      <w:r w:rsidRPr="00A01C21">
        <w:rPr>
          <w:color w:val="001F47" w:themeColor="text2"/>
        </w:rPr>
        <w:t xml:space="preserve"> Sheffler R and Arnold D 2018. Health Economics, Policy and Law. Projecting shortages and surpluses of doctors and nurses in the OECD: what looms ahead. </w:t>
      </w:r>
      <w:hyperlink r:id="rId2" w:history="1">
        <w:r w:rsidRPr="00DA3F52">
          <w:rPr>
            <w:rStyle w:val="Hyperlink"/>
            <w:rFonts w:cstheme="minorHAnsi"/>
          </w:rPr>
          <w:t>https://bit.ly/2LiHKBR</w:t>
        </w:r>
      </w:hyperlink>
    </w:p>
  </w:endnote>
  <w:endnote w:id="4">
    <w:p w14:paraId="7A24F9A7" w14:textId="77777777" w:rsidR="00560458" w:rsidRPr="00D749E8" w:rsidRDefault="00560458" w:rsidP="00560458">
      <w:pPr>
        <w:pStyle w:val="EndnoteText"/>
        <w:rPr>
          <w:color w:val="00234F"/>
        </w:rPr>
      </w:pPr>
      <w:r w:rsidRPr="00BF5B30">
        <w:rPr>
          <w:rStyle w:val="EndnoteReference"/>
          <w:color w:val="00234F"/>
        </w:rPr>
        <w:endnoteRef/>
      </w:r>
      <w:r w:rsidRPr="00BF5B30">
        <w:rPr>
          <w:color w:val="00234F"/>
        </w:rPr>
        <w:t xml:space="preserve"> </w:t>
      </w:r>
      <w:r w:rsidRPr="00D749E8">
        <w:rPr>
          <w:color w:val="00234F"/>
        </w:rPr>
        <w:t xml:space="preserve">Productivity Commission 2017, Shifting the Dial: 5 Year Productivity Review, Report No. 84, Canberra. </w:t>
      </w:r>
    </w:p>
    <w:p w14:paraId="778A7978" w14:textId="77777777" w:rsidR="00560458" w:rsidRDefault="000D04A5" w:rsidP="00560458">
      <w:pPr>
        <w:pStyle w:val="EndnoteText"/>
      </w:pPr>
      <w:hyperlink r:id="rId3" w:history="1">
        <w:r w:rsidR="00560458" w:rsidRPr="00093AAC">
          <w:rPr>
            <w:rStyle w:val="Hyperlink"/>
            <w:rFonts w:cstheme="minorBidi"/>
          </w:rPr>
          <w:t>https://www.pc.gov.au/inquiries/completed/productivity-review/report/productivity-review.pdf</w:t>
        </w:r>
      </w:hyperlink>
    </w:p>
  </w:endnote>
  <w:endnote w:id="5">
    <w:p w14:paraId="2FCF3B54" w14:textId="77777777" w:rsidR="00A01C21" w:rsidRDefault="00A01C21" w:rsidP="00A01C21">
      <w:pPr>
        <w:pStyle w:val="EndnoteText"/>
      </w:pPr>
      <w:r w:rsidRPr="00BF5B30">
        <w:rPr>
          <w:color w:val="001F47" w:themeColor="text2"/>
          <w:vertAlign w:val="superscript"/>
        </w:rPr>
        <w:endnoteRef/>
      </w:r>
      <w:r w:rsidRPr="00A01C21">
        <w:rPr>
          <w:color w:val="001F47" w:themeColor="text2"/>
        </w:rPr>
        <w:t xml:space="preserve"> World Health Organisation (WHO) 2013. Transforming and scaling up health professionals education and training: WHO Guidelines 2013.</w:t>
      </w:r>
      <w:r w:rsidRPr="00DA3F52">
        <w:t xml:space="preserve"> </w:t>
      </w:r>
      <w:hyperlink r:id="rId4" w:history="1">
        <w:r w:rsidRPr="00DA3F52">
          <w:rPr>
            <w:rStyle w:val="Hyperlink"/>
          </w:rPr>
          <w:t>http://www.who.int/hrh/resources/transf_scaling_hpet/en/</w:t>
        </w:r>
      </w:hyperlink>
    </w:p>
  </w:endnote>
  <w:endnote w:id="6">
    <w:p w14:paraId="6BABBCBB" w14:textId="77777777" w:rsidR="00570735" w:rsidRDefault="00570735" w:rsidP="00570735">
      <w:pPr>
        <w:pStyle w:val="EndnoteText"/>
      </w:pPr>
      <w:r w:rsidRPr="00BF5B30">
        <w:rPr>
          <w:color w:val="001F47" w:themeColor="text2"/>
          <w:vertAlign w:val="superscript"/>
        </w:rPr>
        <w:endnoteRef/>
      </w:r>
      <w:r w:rsidRPr="00A01C21">
        <w:rPr>
          <w:color w:val="001F47" w:themeColor="text2"/>
        </w:rPr>
        <w:t xml:space="preserve"> Health Education England</w:t>
      </w:r>
      <w:r>
        <w:t xml:space="preserve">: </w:t>
      </w:r>
      <w:hyperlink r:id="rId5" w:history="1">
        <w:r w:rsidRPr="008744A0">
          <w:rPr>
            <w:rStyle w:val="Hyperlink"/>
          </w:rPr>
          <w:t>https://hee.nhs.uk/</w:t>
        </w:r>
      </w:hyperlink>
    </w:p>
    <w:p w14:paraId="002F3B50" w14:textId="322F465E" w:rsidR="00570735" w:rsidRDefault="00570735" w:rsidP="00B47B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useoSans-500">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UASimpleTable1"/>
      <w:tblW w:w="0" w:type="auto"/>
      <w:tblBorders>
        <w:bottom w:val="none" w:sz="0" w:space="0" w:color="auto"/>
        <w:insideH w:val="none" w:sz="0" w:space="0" w:color="auto"/>
      </w:tblBorders>
      <w:tblLook w:val="04A0" w:firstRow="1" w:lastRow="0" w:firstColumn="1" w:lastColumn="0" w:noHBand="0" w:noVBand="1"/>
    </w:tblPr>
    <w:tblGrid>
      <w:gridCol w:w="8505"/>
      <w:gridCol w:w="993"/>
    </w:tblGrid>
    <w:tr w:rsidR="00F847CC" w:rsidRPr="006020DC" w14:paraId="1C78EB7D" w14:textId="77777777" w:rsidTr="00DA7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2286B9FD" w14:textId="1FA768DE" w:rsidR="00F847CC" w:rsidRPr="006020DC" w:rsidRDefault="00CA4B66" w:rsidP="00F847CC">
          <w:pPr>
            <w:pStyle w:val="Footer"/>
            <w:rPr>
              <w:caps/>
              <w:noProof/>
              <w:color w:val="001F47" w:themeColor="text2"/>
            </w:rPr>
          </w:pPr>
          <w:r w:rsidRPr="00277448">
            <w:rPr>
              <w:noProof/>
              <w:color w:val="001F47" w:themeColor="text2"/>
            </w:rPr>
            <w:t xml:space="preserve">UNIVERSITIES AUSTRALIA  </w:t>
          </w:r>
          <w:r w:rsidRPr="00CA4B66">
            <w:rPr>
              <w:noProof/>
              <w:color w:val="00234F"/>
            </w:rPr>
            <w:t xml:space="preserve">|  </w:t>
          </w:r>
          <w:r w:rsidRPr="00CA4B66">
            <w:rPr>
              <w:caps/>
              <w:noProof/>
              <w:color w:val="00234F"/>
            </w:rPr>
            <w:fldChar w:fldCharType="begin"/>
          </w:r>
          <w:r w:rsidRPr="00CA4B66">
            <w:rPr>
              <w:b w:val="0"/>
              <w:caps/>
              <w:noProof/>
              <w:color w:val="00234F"/>
            </w:rPr>
            <w:instrText xml:space="preserve"> STYLEREF  Title  \* MERGEFORMAT </w:instrText>
          </w:r>
          <w:r w:rsidRPr="00CA4B66">
            <w:rPr>
              <w:caps/>
              <w:noProof/>
              <w:color w:val="00234F"/>
            </w:rPr>
            <w:fldChar w:fldCharType="separate"/>
          </w:r>
          <w:r w:rsidR="007D4309" w:rsidRPr="007D4309">
            <w:rPr>
              <w:b w:val="0"/>
              <w:bCs/>
              <w:caps/>
              <w:noProof/>
              <w:color w:val="00234F"/>
              <w:lang w:val="en-US"/>
            </w:rPr>
            <w:t>SUBMISSION TO THe Independent Review of the Australian public</w:t>
          </w:r>
          <w:r w:rsidR="007D4309">
            <w:rPr>
              <w:b w:val="0"/>
              <w:caps/>
              <w:noProof/>
              <w:color w:val="00234F"/>
            </w:rPr>
            <w:t xml:space="preserve"> service</w:t>
          </w:r>
          <w:r w:rsidRPr="00CA4B66">
            <w:rPr>
              <w:caps/>
              <w:noProof/>
              <w:color w:val="00234F"/>
            </w:rPr>
            <w:fldChar w:fldCharType="end"/>
          </w:r>
        </w:p>
      </w:tc>
      <w:tc>
        <w:tcPr>
          <w:tcW w:w="993" w:type="dxa"/>
          <w:shd w:val="clear" w:color="auto" w:fill="auto"/>
        </w:tcPr>
        <w:p w14:paraId="2599E87E" w14:textId="77777777" w:rsidR="00F847CC" w:rsidRPr="006020DC" w:rsidRDefault="00F847CC" w:rsidP="00F847CC">
          <w:pPr>
            <w:pStyle w:val="Footer"/>
            <w:jc w:val="right"/>
            <w:cnfStyle w:val="100000000000" w:firstRow="1" w:lastRow="0" w:firstColumn="0" w:lastColumn="0" w:oddVBand="0" w:evenVBand="0" w:oddHBand="0" w:evenHBand="0" w:firstRowFirstColumn="0" w:firstRowLastColumn="0" w:lastRowFirstColumn="0" w:lastRowLastColumn="0"/>
            <w:rPr>
              <w:color w:val="001F47" w:themeColor="text2"/>
            </w:rPr>
          </w:pPr>
          <w:r w:rsidRPr="006020DC">
            <w:fldChar w:fldCharType="begin"/>
          </w:r>
          <w:r w:rsidRPr="006020DC">
            <w:rPr>
              <w:color w:val="001F47" w:themeColor="text2"/>
            </w:rPr>
            <w:instrText xml:space="preserve"> PAGE   \* MERGEFORMAT </w:instrText>
          </w:r>
          <w:r w:rsidRPr="006020DC">
            <w:fldChar w:fldCharType="separate"/>
          </w:r>
          <w:r w:rsidRPr="006020DC">
            <w:rPr>
              <w:b w:val="0"/>
              <w:color w:val="001F47" w:themeColor="text2"/>
            </w:rPr>
            <w:t>1</w:t>
          </w:r>
          <w:r w:rsidRPr="006020DC">
            <w:rPr>
              <w:noProof/>
            </w:rPr>
            <w:fldChar w:fldCharType="end"/>
          </w:r>
        </w:p>
      </w:tc>
    </w:tr>
  </w:tbl>
  <w:p w14:paraId="65EED959" w14:textId="77777777" w:rsidR="00FA7C34" w:rsidRPr="00F847CC" w:rsidRDefault="00FA7C34" w:rsidP="00F8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UASimpleTable1"/>
      <w:tblW w:w="0" w:type="auto"/>
      <w:tblBorders>
        <w:bottom w:val="none" w:sz="0" w:space="0" w:color="auto"/>
        <w:insideH w:val="none" w:sz="0" w:space="0" w:color="auto"/>
      </w:tblBorders>
      <w:tblLook w:val="04A0" w:firstRow="1" w:lastRow="0" w:firstColumn="1" w:lastColumn="0" w:noHBand="0" w:noVBand="1"/>
    </w:tblPr>
    <w:tblGrid>
      <w:gridCol w:w="8505"/>
      <w:gridCol w:w="993"/>
    </w:tblGrid>
    <w:tr w:rsidR="006020DC" w:rsidRPr="006020DC" w14:paraId="2767DEFF" w14:textId="77777777" w:rsidTr="0060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11C36B0C" w14:textId="6C001991" w:rsidR="006020DC" w:rsidRPr="00277448" w:rsidRDefault="006020DC" w:rsidP="00C86F31">
          <w:pPr>
            <w:pStyle w:val="Footer"/>
            <w:rPr>
              <w:caps/>
              <w:noProof/>
              <w:color w:val="001F47" w:themeColor="text2"/>
            </w:rPr>
          </w:pPr>
          <w:r w:rsidRPr="00277448">
            <w:rPr>
              <w:noProof/>
              <w:color w:val="001F47" w:themeColor="text2"/>
            </w:rPr>
            <w:t xml:space="preserve">UNIVERSITIES AUSTRALIA  </w:t>
          </w:r>
          <w:r w:rsidRPr="00CA4B66">
            <w:rPr>
              <w:noProof/>
              <w:color w:val="00234F"/>
            </w:rPr>
            <w:t xml:space="preserve">|  </w:t>
          </w:r>
          <w:r w:rsidRPr="00CA4B66">
            <w:rPr>
              <w:caps/>
              <w:noProof/>
              <w:color w:val="00234F"/>
            </w:rPr>
            <w:fldChar w:fldCharType="begin"/>
          </w:r>
          <w:r w:rsidRPr="00CA4B66">
            <w:rPr>
              <w:b w:val="0"/>
              <w:caps/>
              <w:noProof/>
              <w:color w:val="00234F"/>
            </w:rPr>
            <w:instrText xml:space="preserve"> STYLEREF  Title  \* MERGEFORMAT </w:instrText>
          </w:r>
          <w:r w:rsidRPr="00CA4B66">
            <w:rPr>
              <w:caps/>
              <w:noProof/>
              <w:color w:val="00234F"/>
            </w:rPr>
            <w:fldChar w:fldCharType="separate"/>
          </w:r>
          <w:r w:rsidR="007D4309" w:rsidRPr="007D4309">
            <w:rPr>
              <w:b w:val="0"/>
              <w:bCs/>
              <w:caps/>
              <w:noProof/>
              <w:color w:val="00234F"/>
              <w:lang w:val="en-US"/>
            </w:rPr>
            <w:t>SUBMISSION TO THe Independent Review of the Australian public</w:t>
          </w:r>
          <w:r w:rsidR="007D4309">
            <w:rPr>
              <w:b w:val="0"/>
              <w:caps/>
              <w:noProof/>
              <w:color w:val="00234F"/>
            </w:rPr>
            <w:t xml:space="preserve"> service</w:t>
          </w:r>
          <w:r w:rsidRPr="00CA4B66">
            <w:rPr>
              <w:caps/>
              <w:noProof/>
              <w:color w:val="00234F"/>
            </w:rPr>
            <w:fldChar w:fldCharType="end"/>
          </w:r>
        </w:p>
      </w:tc>
      <w:tc>
        <w:tcPr>
          <w:tcW w:w="993" w:type="dxa"/>
          <w:shd w:val="clear" w:color="auto" w:fill="auto"/>
        </w:tcPr>
        <w:p w14:paraId="10EE776A" w14:textId="77777777" w:rsidR="006020DC" w:rsidRPr="006020DC" w:rsidRDefault="006020DC" w:rsidP="006020DC">
          <w:pPr>
            <w:pStyle w:val="Footer"/>
            <w:jc w:val="right"/>
            <w:cnfStyle w:val="100000000000" w:firstRow="1" w:lastRow="0" w:firstColumn="0" w:lastColumn="0" w:oddVBand="0" w:evenVBand="0" w:oddHBand="0" w:evenHBand="0" w:firstRowFirstColumn="0" w:firstRowLastColumn="0" w:lastRowFirstColumn="0" w:lastRowLastColumn="0"/>
            <w:rPr>
              <w:color w:val="001F47" w:themeColor="text2"/>
            </w:rPr>
          </w:pPr>
          <w:r w:rsidRPr="006020DC">
            <w:fldChar w:fldCharType="begin"/>
          </w:r>
          <w:r w:rsidRPr="006020DC">
            <w:rPr>
              <w:color w:val="001F47" w:themeColor="text2"/>
            </w:rPr>
            <w:instrText xml:space="preserve"> PAGE   \* MERGEFORMAT </w:instrText>
          </w:r>
          <w:r w:rsidRPr="006020DC">
            <w:fldChar w:fldCharType="separate"/>
          </w:r>
          <w:r w:rsidRPr="006020DC">
            <w:rPr>
              <w:b w:val="0"/>
              <w:color w:val="001F47" w:themeColor="text2"/>
            </w:rPr>
            <w:t>1</w:t>
          </w:r>
          <w:r w:rsidRPr="006020DC">
            <w:rPr>
              <w:noProof/>
            </w:rPr>
            <w:fldChar w:fldCharType="end"/>
          </w:r>
        </w:p>
      </w:tc>
    </w:tr>
  </w:tbl>
  <w:p w14:paraId="56E2AD09" w14:textId="77777777" w:rsidR="00C53A31" w:rsidRPr="00C86F31" w:rsidRDefault="00C53A31" w:rsidP="006020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96CA" w14:textId="77777777" w:rsidR="000D04A5" w:rsidRDefault="000D04A5" w:rsidP="00C31D61">
      <w:pPr>
        <w:spacing w:before="0" w:after="0" w:line="240" w:lineRule="auto"/>
      </w:pPr>
      <w:r>
        <w:separator/>
      </w:r>
    </w:p>
  </w:footnote>
  <w:footnote w:type="continuationSeparator" w:id="0">
    <w:p w14:paraId="524BDA92" w14:textId="77777777" w:rsidR="000D04A5" w:rsidRDefault="000D04A5" w:rsidP="00C31D61">
      <w:pPr>
        <w:spacing w:before="0" w:after="0" w:line="240" w:lineRule="auto"/>
      </w:pPr>
      <w:r>
        <w:continuationSeparator/>
      </w:r>
    </w:p>
  </w:footnote>
  <w:footnote w:type="continuationNotice" w:id="1">
    <w:p w14:paraId="646388D4" w14:textId="77777777" w:rsidR="000D04A5" w:rsidRDefault="000D04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6CEA" w14:textId="273B24EF" w:rsidR="006D2201" w:rsidRDefault="006D2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CC12" w14:textId="2304A112" w:rsidR="0044728A" w:rsidRDefault="0044728A">
    <w:pPr>
      <w:pStyle w:val="Header"/>
    </w:pPr>
    <w:r>
      <w:rPr>
        <w:noProof/>
        <w:lang w:eastAsia="en-AU"/>
      </w:rPr>
      <w:drawing>
        <wp:anchor distT="0" distB="0" distL="114300" distR="114300" simplePos="0" relativeHeight="251658241" behindDoc="1" locked="0" layoutInCell="1" allowOverlap="1" wp14:anchorId="2628A270" wp14:editId="7FEC5DCD">
          <wp:simplePos x="0" y="0"/>
          <wp:positionH relativeFrom="page">
            <wp:posOffset>5204460</wp:posOffset>
          </wp:positionH>
          <wp:positionV relativeFrom="page">
            <wp:posOffset>-544830</wp:posOffset>
          </wp:positionV>
          <wp:extent cx="2540160" cy="1394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ogo-Blue.png"/>
                  <pic:cNvPicPr/>
                </pic:nvPicPr>
                <pic:blipFill rotWithShape="1">
                  <a:blip r:embed="rId1">
                    <a:extLst>
                      <a:ext uri="{28A0092B-C50C-407E-A947-70E740481C1C}">
                        <a14:useLocalDpi xmlns:a14="http://schemas.microsoft.com/office/drawing/2010/main" val="0"/>
                      </a:ext>
                    </a:extLst>
                  </a:blip>
                  <a:srcRect l="1" t="-120482" r="-30745" b="-1"/>
                  <a:stretch/>
                </pic:blipFill>
                <pic:spPr bwMode="auto">
                  <a:xfrm>
                    <a:off x="0" y="0"/>
                    <a:ext cx="2540160" cy="13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1461" w14:textId="3EE9B7C0" w:rsidR="005B0FEE" w:rsidRDefault="005B0FEE">
    <w:pPr>
      <w:pStyle w:val="Header"/>
      <w:rPr>
        <w:noProof/>
        <w:lang w:eastAsia="en-AU"/>
      </w:rPr>
    </w:pPr>
  </w:p>
  <w:p w14:paraId="3365880F" w14:textId="77777777" w:rsidR="005B0FEE" w:rsidRDefault="005B0FEE">
    <w:pPr>
      <w:pStyle w:val="Header"/>
      <w:rPr>
        <w:noProof/>
        <w:lang w:eastAsia="en-AU"/>
      </w:rPr>
    </w:pPr>
    <w:r>
      <w:rPr>
        <w:noProof/>
        <w:lang w:eastAsia="en-AU"/>
      </w:rPr>
      <w:drawing>
        <wp:anchor distT="0" distB="0" distL="114300" distR="114300" simplePos="0" relativeHeight="251658240" behindDoc="1" locked="0" layoutInCell="1" allowOverlap="1" wp14:anchorId="29D78DBD" wp14:editId="4D6566B3">
          <wp:simplePos x="0" y="0"/>
          <wp:positionH relativeFrom="page">
            <wp:posOffset>5198110</wp:posOffset>
          </wp:positionH>
          <wp:positionV relativeFrom="page">
            <wp:posOffset>-523875</wp:posOffset>
          </wp:positionV>
          <wp:extent cx="2540160" cy="1394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ogo-Blue.png"/>
                  <pic:cNvPicPr/>
                </pic:nvPicPr>
                <pic:blipFill rotWithShape="1">
                  <a:blip r:embed="rId1">
                    <a:extLst>
                      <a:ext uri="{28A0092B-C50C-407E-A947-70E740481C1C}">
                        <a14:useLocalDpi xmlns:a14="http://schemas.microsoft.com/office/drawing/2010/main" val="0"/>
                      </a:ext>
                    </a:extLst>
                  </a:blip>
                  <a:srcRect l="1" t="-120482" r="-30745" b="-1"/>
                  <a:stretch/>
                </pic:blipFill>
                <pic:spPr bwMode="auto">
                  <a:xfrm>
                    <a:off x="0" y="0"/>
                    <a:ext cx="2540160" cy="13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21717A" w14:textId="77777777" w:rsidR="00C31D61" w:rsidRDefault="00C3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221460"/>
    <w:multiLevelType w:val="hybridMultilevel"/>
    <w:tmpl w:val="A500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77F2E"/>
    <w:multiLevelType w:val="hybridMultilevel"/>
    <w:tmpl w:val="A9C4371A"/>
    <w:lvl w:ilvl="0" w:tplc="8B940F38">
      <w:start w:val="1"/>
      <w:numFmt w:val="decimal"/>
      <w:pStyle w:val="RecommBoxNumberedList"/>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BB5083"/>
    <w:multiLevelType w:val="multilevel"/>
    <w:tmpl w:val="222EBF18"/>
    <w:lvl w:ilvl="0">
      <w:start w:val="1"/>
      <w:numFmt w:val="bullet"/>
      <w:pStyle w:val="RecommBoxBullet1"/>
      <w:lvlText w:val=""/>
      <w:lvlJc w:val="left"/>
      <w:pPr>
        <w:tabs>
          <w:tab w:val="num" w:pos="567"/>
        </w:tabs>
        <w:ind w:left="567" w:hanging="283"/>
      </w:pPr>
      <w:rPr>
        <w:rFonts w:ascii="Symbol" w:hAnsi="Symbol" w:hint="default"/>
        <w:color w:val="auto"/>
      </w:rPr>
    </w:lvl>
    <w:lvl w:ilvl="1">
      <w:start w:val="1"/>
      <w:numFmt w:val="none"/>
      <w:pStyle w:val="RecommBoxBullet2"/>
      <w:lvlText w:val="    –"/>
      <w:lvlJc w:val="left"/>
      <w:pPr>
        <w:tabs>
          <w:tab w:val="num" w:pos="851"/>
        </w:tabs>
        <w:ind w:left="851" w:hanging="567"/>
      </w:pPr>
      <w:rPr>
        <w:rFonts w:hint="default"/>
      </w:rPr>
    </w:lvl>
    <w:lvl w:ilvl="2">
      <w:start w:val="1"/>
      <w:numFmt w:val="none"/>
      <w:pStyle w:val="RecommBoxBullet3"/>
      <w:lvlText w:val="          »"/>
      <w:lvlJc w:val="left"/>
      <w:pPr>
        <w:tabs>
          <w:tab w:val="num" w:pos="1134"/>
        </w:tabs>
        <w:ind w:left="1134" w:hanging="85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4A37DD"/>
    <w:multiLevelType w:val="hybridMultilevel"/>
    <w:tmpl w:val="9D22A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902F5A"/>
    <w:multiLevelType w:val="hybridMultilevel"/>
    <w:tmpl w:val="AC7C9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9"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48577EC2"/>
    <w:multiLevelType w:val="hybridMultilevel"/>
    <w:tmpl w:val="671C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A7258DD"/>
    <w:multiLevelType w:val="multilevel"/>
    <w:tmpl w:val="52C85550"/>
    <w:lvl w:ilvl="0">
      <w:start w:val="1"/>
      <w:numFmt w:val="bullet"/>
      <w:pStyle w:val="Boxed1Bullet"/>
      <w:lvlText w:val=""/>
      <w:lvlJc w:val="left"/>
      <w:pPr>
        <w:tabs>
          <w:tab w:val="num" w:pos="567"/>
        </w:tabs>
        <w:ind w:left="567" w:hanging="283"/>
      </w:pPr>
      <w:rPr>
        <w:rFonts w:ascii="Symbol" w:hAnsi="Symbol" w:hint="default"/>
        <w:color w:val="auto"/>
      </w:rPr>
    </w:lvl>
    <w:lvl w:ilvl="1">
      <w:start w:val="1"/>
      <w:numFmt w:val="none"/>
      <w:pStyle w:val="Boxed1Bullet2"/>
      <w:lvlText w:val="    –"/>
      <w:lvlJc w:val="left"/>
      <w:pPr>
        <w:tabs>
          <w:tab w:val="num" w:pos="851"/>
        </w:tabs>
        <w:ind w:left="851" w:hanging="567"/>
      </w:pPr>
      <w:rPr>
        <w:rFonts w:hint="default"/>
      </w:rPr>
    </w:lvl>
    <w:lvl w:ilvl="2">
      <w:start w:val="1"/>
      <w:numFmt w:val="none"/>
      <w:pStyle w:val="Boxed1Bullet3"/>
      <w:lvlText w:val="          »"/>
      <w:lvlJc w:val="left"/>
      <w:pPr>
        <w:tabs>
          <w:tab w:val="num" w:pos="1134"/>
        </w:tabs>
        <w:ind w:left="1134" w:hanging="85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554E7C"/>
    <w:multiLevelType w:val="multilevel"/>
    <w:tmpl w:val="E7E6E2BC"/>
    <w:lvl w:ilvl="0">
      <w:start w:val="1"/>
      <w:numFmt w:val="bullet"/>
      <w:pStyle w:val="Boxed2Bullet"/>
      <w:lvlText w:val=""/>
      <w:lvlJc w:val="left"/>
      <w:pPr>
        <w:tabs>
          <w:tab w:val="num" w:pos="567"/>
        </w:tabs>
        <w:ind w:left="567" w:hanging="283"/>
      </w:pPr>
      <w:rPr>
        <w:rFonts w:ascii="Symbol" w:hAnsi="Symbol" w:hint="default"/>
      </w:rPr>
    </w:lvl>
    <w:lvl w:ilvl="1">
      <w:start w:val="1"/>
      <w:numFmt w:val="none"/>
      <w:pStyle w:val="Boxed2Bullet2"/>
      <w:lvlText w:val="     –"/>
      <w:lvlJc w:val="left"/>
      <w:pPr>
        <w:tabs>
          <w:tab w:val="num" w:pos="851"/>
        </w:tabs>
        <w:ind w:left="851" w:hanging="567"/>
      </w:pPr>
      <w:rPr>
        <w:rFonts w:hint="default"/>
      </w:rPr>
    </w:lvl>
    <w:lvl w:ilvl="2">
      <w:start w:val="1"/>
      <w:numFmt w:val="none"/>
      <w:pStyle w:val="Boxed2Bullet3"/>
      <w:lvlText w:val="          »"/>
      <w:lvlJc w:val="left"/>
      <w:pPr>
        <w:tabs>
          <w:tab w:val="num" w:pos="1134"/>
        </w:tabs>
        <w:ind w:left="1134" w:hanging="850"/>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3"/>
      <w:lvlText w:val="»"/>
      <w:lvlJc w:val="left"/>
      <w:pPr>
        <w:ind w:left="680" w:hanging="283"/>
      </w:pPr>
      <w:rPr>
        <w:rFonts w:ascii="Arial" w:hAnsi="Arial" w:hint="default"/>
      </w:rPr>
    </w:lvl>
    <w:lvl w:ilvl="2">
      <w:start w:val="1"/>
      <w:numFmt w:val="bullet"/>
      <w:pStyle w:val="Bullet2"/>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D93410B"/>
    <w:multiLevelType w:val="multilevel"/>
    <w:tmpl w:val="089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15"/>
  </w:num>
  <w:num w:numId="4">
    <w:abstractNumId w:val="10"/>
  </w:num>
  <w:num w:numId="5">
    <w:abstractNumId w:val="10"/>
  </w:num>
  <w:num w:numId="6">
    <w:abstractNumId w:val="6"/>
  </w:num>
  <w:num w:numId="7">
    <w:abstractNumId w:val="18"/>
  </w:num>
  <w:num w:numId="8">
    <w:abstractNumId w:val="9"/>
  </w:num>
  <w:num w:numId="9">
    <w:abstractNumId w:val="6"/>
  </w:num>
  <w:num w:numId="10">
    <w:abstractNumId w:val="12"/>
  </w:num>
  <w:num w:numId="11">
    <w:abstractNumId w:val="12"/>
  </w:num>
  <w:num w:numId="12">
    <w:abstractNumId w:val="0"/>
  </w:num>
  <w:num w:numId="13">
    <w:abstractNumId w:val="8"/>
  </w:num>
  <w:num w:numId="14">
    <w:abstractNumId w:val="13"/>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7"/>
  </w:num>
  <w:num w:numId="21">
    <w:abstractNumId w:val="4"/>
  </w:num>
  <w:num w:numId="22">
    <w:abstractNumId w:val="20"/>
  </w:num>
  <w:num w:numId="23">
    <w:abstractNumId w:val="11"/>
  </w:num>
  <w:num w:numId="24">
    <w:abstractNumId w:val="7"/>
  </w:num>
  <w:num w:numId="25">
    <w:abstractNumId w:val="5"/>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21"/>
    <w:rsid w:val="00007466"/>
    <w:rsid w:val="00014A9C"/>
    <w:rsid w:val="00043927"/>
    <w:rsid w:val="000542B1"/>
    <w:rsid w:val="000609CB"/>
    <w:rsid w:val="000824EC"/>
    <w:rsid w:val="00086C1F"/>
    <w:rsid w:val="0008704E"/>
    <w:rsid w:val="000B299F"/>
    <w:rsid w:val="000C49C5"/>
    <w:rsid w:val="000D04A5"/>
    <w:rsid w:val="000E2BA0"/>
    <w:rsid w:val="000F253A"/>
    <w:rsid w:val="00101A33"/>
    <w:rsid w:val="001270D7"/>
    <w:rsid w:val="0015254B"/>
    <w:rsid w:val="00174793"/>
    <w:rsid w:val="00175BDC"/>
    <w:rsid w:val="001A0F8A"/>
    <w:rsid w:val="001B1AF1"/>
    <w:rsid w:val="001C2977"/>
    <w:rsid w:val="002073F6"/>
    <w:rsid w:val="00213DD1"/>
    <w:rsid w:val="00230A00"/>
    <w:rsid w:val="00254956"/>
    <w:rsid w:val="00277448"/>
    <w:rsid w:val="0029580D"/>
    <w:rsid w:val="002969AC"/>
    <w:rsid w:val="002B0A13"/>
    <w:rsid w:val="002B550D"/>
    <w:rsid w:val="002B6AE4"/>
    <w:rsid w:val="002B6D53"/>
    <w:rsid w:val="003409C5"/>
    <w:rsid w:val="00376B0D"/>
    <w:rsid w:val="00384DC8"/>
    <w:rsid w:val="003B3FE7"/>
    <w:rsid w:val="003D2553"/>
    <w:rsid w:val="00413AC5"/>
    <w:rsid w:val="00416C46"/>
    <w:rsid w:val="0043582B"/>
    <w:rsid w:val="0044728A"/>
    <w:rsid w:val="00451C24"/>
    <w:rsid w:val="004532D7"/>
    <w:rsid w:val="004542AD"/>
    <w:rsid w:val="00470D05"/>
    <w:rsid w:val="00471B86"/>
    <w:rsid w:val="004A7697"/>
    <w:rsid w:val="004C3717"/>
    <w:rsid w:val="004D2C0A"/>
    <w:rsid w:val="004D41DB"/>
    <w:rsid w:val="004F514A"/>
    <w:rsid w:val="00522B89"/>
    <w:rsid w:val="00560458"/>
    <w:rsid w:val="00564CA0"/>
    <w:rsid w:val="0056593C"/>
    <w:rsid w:val="00570735"/>
    <w:rsid w:val="005A7CC2"/>
    <w:rsid w:val="005B0FEE"/>
    <w:rsid w:val="005C06E8"/>
    <w:rsid w:val="005E7EF7"/>
    <w:rsid w:val="006020DC"/>
    <w:rsid w:val="00632E72"/>
    <w:rsid w:val="00654A8F"/>
    <w:rsid w:val="00680B0E"/>
    <w:rsid w:val="006822AC"/>
    <w:rsid w:val="006C7D4B"/>
    <w:rsid w:val="006D1942"/>
    <w:rsid w:val="006D2201"/>
    <w:rsid w:val="00715191"/>
    <w:rsid w:val="00721449"/>
    <w:rsid w:val="00722C3D"/>
    <w:rsid w:val="00725311"/>
    <w:rsid w:val="007256F6"/>
    <w:rsid w:val="00731BCA"/>
    <w:rsid w:val="00734647"/>
    <w:rsid w:val="00735416"/>
    <w:rsid w:val="00735554"/>
    <w:rsid w:val="007365BF"/>
    <w:rsid w:val="00774FE6"/>
    <w:rsid w:val="007C0F67"/>
    <w:rsid w:val="007C7945"/>
    <w:rsid w:val="007D4309"/>
    <w:rsid w:val="007E5BA5"/>
    <w:rsid w:val="007F0F25"/>
    <w:rsid w:val="007F7525"/>
    <w:rsid w:val="007F7FB0"/>
    <w:rsid w:val="00807A4C"/>
    <w:rsid w:val="00823729"/>
    <w:rsid w:val="00844C9A"/>
    <w:rsid w:val="008775F0"/>
    <w:rsid w:val="00894544"/>
    <w:rsid w:val="008967E2"/>
    <w:rsid w:val="00897FC9"/>
    <w:rsid w:val="008B7FF8"/>
    <w:rsid w:val="008C14B5"/>
    <w:rsid w:val="008D5F65"/>
    <w:rsid w:val="00905A6A"/>
    <w:rsid w:val="009114CC"/>
    <w:rsid w:val="00913F83"/>
    <w:rsid w:val="00926C28"/>
    <w:rsid w:val="00946394"/>
    <w:rsid w:val="009710A3"/>
    <w:rsid w:val="00976DD6"/>
    <w:rsid w:val="009A4916"/>
    <w:rsid w:val="009B778E"/>
    <w:rsid w:val="009C5135"/>
    <w:rsid w:val="009D547E"/>
    <w:rsid w:val="009D64DB"/>
    <w:rsid w:val="009E2FC4"/>
    <w:rsid w:val="009E69ED"/>
    <w:rsid w:val="009F591D"/>
    <w:rsid w:val="00A01C21"/>
    <w:rsid w:val="00A056DB"/>
    <w:rsid w:val="00A06A05"/>
    <w:rsid w:val="00A11DA7"/>
    <w:rsid w:val="00A324E8"/>
    <w:rsid w:val="00A34CDE"/>
    <w:rsid w:val="00A433BD"/>
    <w:rsid w:val="00A4540A"/>
    <w:rsid w:val="00A57013"/>
    <w:rsid w:val="00A61459"/>
    <w:rsid w:val="00A62DB6"/>
    <w:rsid w:val="00A74080"/>
    <w:rsid w:val="00A81C9E"/>
    <w:rsid w:val="00A918FF"/>
    <w:rsid w:val="00A94F0D"/>
    <w:rsid w:val="00AA71E1"/>
    <w:rsid w:val="00AC7C9A"/>
    <w:rsid w:val="00AD129B"/>
    <w:rsid w:val="00AE1AB4"/>
    <w:rsid w:val="00AE7005"/>
    <w:rsid w:val="00B133F6"/>
    <w:rsid w:val="00B242D4"/>
    <w:rsid w:val="00B2455E"/>
    <w:rsid w:val="00B25877"/>
    <w:rsid w:val="00B47BCB"/>
    <w:rsid w:val="00B55F37"/>
    <w:rsid w:val="00B56834"/>
    <w:rsid w:val="00B61243"/>
    <w:rsid w:val="00B70851"/>
    <w:rsid w:val="00B70914"/>
    <w:rsid w:val="00B95091"/>
    <w:rsid w:val="00B95F6E"/>
    <w:rsid w:val="00BA21D6"/>
    <w:rsid w:val="00BD00F4"/>
    <w:rsid w:val="00BF5B30"/>
    <w:rsid w:val="00BF6BAD"/>
    <w:rsid w:val="00C06A8C"/>
    <w:rsid w:val="00C16EA4"/>
    <w:rsid w:val="00C31D61"/>
    <w:rsid w:val="00C53A31"/>
    <w:rsid w:val="00C61C4F"/>
    <w:rsid w:val="00C775E0"/>
    <w:rsid w:val="00C81557"/>
    <w:rsid w:val="00C86F31"/>
    <w:rsid w:val="00C95949"/>
    <w:rsid w:val="00C97005"/>
    <w:rsid w:val="00CA19BE"/>
    <w:rsid w:val="00CA4B66"/>
    <w:rsid w:val="00CA7E74"/>
    <w:rsid w:val="00CB5B10"/>
    <w:rsid w:val="00CB7681"/>
    <w:rsid w:val="00CD0B9C"/>
    <w:rsid w:val="00CE0408"/>
    <w:rsid w:val="00CF6693"/>
    <w:rsid w:val="00D04CC6"/>
    <w:rsid w:val="00D079DA"/>
    <w:rsid w:val="00D16A09"/>
    <w:rsid w:val="00D47F85"/>
    <w:rsid w:val="00D749E8"/>
    <w:rsid w:val="00D81109"/>
    <w:rsid w:val="00DA55DD"/>
    <w:rsid w:val="00DC42CB"/>
    <w:rsid w:val="00DD36B3"/>
    <w:rsid w:val="00DE5BBC"/>
    <w:rsid w:val="00E44927"/>
    <w:rsid w:val="00E55F54"/>
    <w:rsid w:val="00E66B00"/>
    <w:rsid w:val="00E70C2F"/>
    <w:rsid w:val="00E81C33"/>
    <w:rsid w:val="00EB741C"/>
    <w:rsid w:val="00EC5BE9"/>
    <w:rsid w:val="00ED62F0"/>
    <w:rsid w:val="00EE0647"/>
    <w:rsid w:val="00EF17AC"/>
    <w:rsid w:val="00EF6FFB"/>
    <w:rsid w:val="00F05BEA"/>
    <w:rsid w:val="00F0649E"/>
    <w:rsid w:val="00F10F3F"/>
    <w:rsid w:val="00F147A6"/>
    <w:rsid w:val="00F245A0"/>
    <w:rsid w:val="00F3216C"/>
    <w:rsid w:val="00F37265"/>
    <w:rsid w:val="00F474CB"/>
    <w:rsid w:val="00F5287B"/>
    <w:rsid w:val="00F847CC"/>
    <w:rsid w:val="00F85E27"/>
    <w:rsid w:val="00FA7C34"/>
    <w:rsid w:val="00FB4A45"/>
    <w:rsid w:val="38FEAE64"/>
    <w:rsid w:val="4CF7CF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2219"/>
  <w15:chartTrackingRefBased/>
  <w15:docId w15:val="{A76CA81A-2FDC-4C60-B381-D6C51298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1F47" w:themeColor="text2"/>
        <w:sz w:val="22"/>
        <w:szCs w:val="22"/>
        <w:lang w:val="en-AU" w:eastAsia="en-US" w:bidi="ar-SA"/>
      </w:rPr>
    </w:rPrDefault>
    <w:pPrDefault>
      <w:pPr>
        <w:spacing w:before="240" w:after="12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C2"/>
    <w:rPr>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9F591D"/>
    <w:pPr>
      <w:pageBreakBefore w:val="0"/>
      <w:spacing w:before="360" w:after="12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254956"/>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06A8C"/>
    <w:pPr>
      <w:numPr>
        <w:numId w:val="19"/>
      </w:numPr>
    </w:pPr>
  </w:style>
  <w:style w:type="paragraph" w:customStyle="1" w:styleId="Boxed1Heading">
    <w:name w:val="Boxed 1 Heading"/>
    <w:basedOn w:val="Boxed1Text"/>
    <w:qFormat/>
    <w:rsid w:val="0044728A"/>
    <w:rPr>
      <w:b/>
      <w:sz w:val="22"/>
    </w:rPr>
  </w:style>
  <w:style w:type="paragraph" w:customStyle="1" w:styleId="Boxed2Text">
    <w:name w:val="Boxed 2 Text"/>
    <w:basedOn w:val="Normal"/>
    <w:qFormat/>
    <w:rsid w:val="00254956"/>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suppressAutoHyphens/>
      <w:ind w:left="284" w:right="284"/>
    </w:pPr>
    <w:rPr>
      <w:color w:val="FFFFFF" w:themeColor="background1"/>
    </w:rPr>
  </w:style>
  <w:style w:type="paragraph" w:customStyle="1" w:styleId="Boxed2Bullet">
    <w:name w:val="Boxed 2 Bullet"/>
    <w:basedOn w:val="Boxed2Text"/>
    <w:qFormat/>
    <w:rsid w:val="00C06A8C"/>
    <w:pPr>
      <w:numPr>
        <w:numId w:val="20"/>
      </w:numPr>
      <w:suppressAutoHyphens w:val="0"/>
    </w:pPr>
  </w:style>
  <w:style w:type="paragraph" w:customStyle="1" w:styleId="Boxed2Heading">
    <w:name w:val="Boxed 2 Heading"/>
    <w:basedOn w:val="Boxed2Text"/>
    <w:qFormat/>
    <w:rsid w:val="0044728A"/>
    <w:rPr>
      <w:b/>
      <w:sz w:val="22"/>
    </w:rPr>
  </w:style>
  <w:style w:type="paragraph" w:customStyle="1" w:styleId="Bullet1">
    <w:name w:val="Bullet 1"/>
    <w:basedOn w:val="Normal"/>
    <w:qFormat/>
    <w:rsid w:val="004542AD"/>
    <w:pPr>
      <w:numPr>
        <w:numId w:val="2"/>
      </w:numPr>
      <w:spacing w:before="120"/>
      <w:ind w:left="1134" w:hanging="567"/>
    </w:pPr>
  </w:style>
  <w:style w:type="paragraph" w:customStyle="1" w:styleId="Bullet3">
    <w:name w:val="Bullet 3"/>
    <w:basedOn w:val="Bullet1"/>
    <w:qFormat/>
    <w:rsid w:val="004542AD"/>
    <w:pPr>
      <w:numPr>
        <w:ilvl w:val="1"/>
      </w:numPr>
      <w:ind w:left="2268" w:hanging="567"/>
    </w:pPr>
  </w:style>
  <w:style w:type="paragraph" w:customStyle="1" w:styleId="Bullet2">
    <w:name w:val="Bullet 2"/>
    <w:basedOn w:val="Bullet3"/>
    <w:qFormat/>
    <w:rsid w:val="004542AD"/>
    <w:pPr>
      <w:numPr>
        <w:ilvl w:val="2"/>
      </w:numPr>
      <w:ind w:left="1701" w:hanging="567"/>
    </w:pPr>
  </w:style>
  <w:style w:type="numbering" w:customStyle="1" w:styleId="BulletsList">
    <w:name w:val="Bullets List"/>
    <w:uiPriority w:val="99"/>
    <w:rsid w:val="00C97005"/>
    <w:pPr>
      <w:numPr>
        <w:numId w:val="2"/>
      </w:numPr>
    </w:pPr>
  </w:style>
  <w:style w:type="paragraph" w:styleId="Caption">
    <w:name w:val="caption"/>
    <w:basedOn w:val="Normal"/>
    <w:next w:val="Normal"/>
    <w:uiPriority w:val="35"/>
    <w:unhideWhenUsed/>
    <w:qFormat/>
    <w:rsid w:val="00C95949"/>
    <w:pPr>
      <w:spacing w:after="200"/>
      <w:ind w:left="567"/>
    </w:pPr>
    <w:rPr>
      <w:iCs/>
      <w:sz w:val="16"/>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9F591D"/>
    <w:rPr>
      <w:rFonts w:eastAsiaTheme="majorEastAsia" w:cstheme="majorBidi"/>
      <w:b/>
      <w:caps/>
      <w:sz w:val="28"/>
      <w:szCs w:val="26"/>
    </w:rPr>
  </w:style>
  <w:style w:type="paragraph" w:customStyle="1" w:styleId="CoverDate">
    <w:name w:val="Cover Date"/>
    <w:basedOn w:val="Heading2"/>
    <w:qFormat/>
    <w:rsid w:val="0044728A"/>
    <w:pPr>
      <w:outlineLvl w:val="9"/>
    </w:pPr>
    <w:rPr>
      <w:b w:val="0"/>
      <w:caps w:val="0"/>
      <w:color w:val="00234F"/>
      <w:sz w:val="20"/>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3"/>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44728A"/>
    <w:pPr>
      <w:numPr>
        <w:numId w:val="5"/>
      </w:numPr>
      <w:ind w:left="0" w:hanging="567"/>
    </w:pPr>
  </w:style>
  <w:style w:type="paragraph" w:customStyle="1" w:styleId="Heading2Numbered">
    <w:name w:val="Heading 2 Numbered"/>
    <w:basedOn w:val="Heading2"/>
    <w:next w:val="Normal"/>
    <w:qFormat/>
    <w:rsid w:val="0044728A"/>
    <w:pPr>
      <w:numPr>
        <w:ilvl w:val="1"/>
        <w:numId w:val="5"/>
      </w:numPr>
      <w:ind w:left="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44728A"/>
    <w:pPr>
      <w:numPr>
        <w:ilvl w:val="2"/>
        <w:numId w:val="5"/>
      </w:numPr>
      <w:ind w:left="0" w:hanging="794"/>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4"/>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6"/>
      </w:numPr>
    </w:pPr>
  </w:style>
  <w:style w:type="paragraph" w:customStyle="1" w:styleId="List-Numbered1">
    <w:name w:val="List - Numbered 1"/>
    <w:basedOn w:val="Normal"/>
    <w:qFormat/>
    <w:rsid w:val="004542AD"/>
    <w:pPr>
      <w:numPr>
        <w:numId w:val="12"/>
      </w:numPr>
      <w:spacing w:before="120"/>
      <w:ind w:left="1134" w:hanging="567"/>
    </w:pPr>
  </w:style>
  <w:style w:type="paragraph" w:customStyle="1" w:styleId="List-Roman1">
    <w:name w:val="List - Roman 1"/>
    <w:basedOn w:val="List-Numbered1"/>
    <w:qFormat/>
    <w:rsid w:val="004542AD"/>
    <w:pPr>
      <w:numPr>
        <w:numId w:val="14"/>
      </w:numPr>
      <w:ind w:left="1134" w:hanging="567"/>
    </w:pPr>
  </w:style>
  <w:style w:type="paragraph" w:customStyle="1" w:styleId="List-Letter1">
    <w:name w:val="List - Letter 1"/>
    <w:basedOn w:val="List-Roman1"/>
    <w:qFormat/>
    <w:rsid w:val="004542AD"/>
    <w:pPr>
      <w:numPr>
        <w:numId w:val="9"/>
      </w:numPr>
      <w:ind w:left="1134" w:hanging="567"/>
    </w:pPr>
  </w:style>
  <w:style w:type="paragraph" w:customStyle="1" w:styleId="List-Numbered2">
    <w:name w:val="List - Numbered 2"/>
    <w:basedOn w:val="List-Numbered1"/>
    <w:qFormat/>
    <w:rsid w:val="004542AD"/>
    <w:pPr>
      <w:numPr>
        <w:ilvl w:val="1"/>
      </w:numPr>
      <w:ind w:left="1701" w:hanging="567"/>
    </w:pPr>
  </w:style>
  <w:style w:type="paragraph" w:customStyle="1" w:styleId="List-Roman2">
    <w:name w:val="List - Roman 2"/>
    <w:basedOn w:val="List-Numbered2"/>
    <w:qFormat/>
    <w:rsid w:val="004542AD"/>
    <w:pPr>
      <w:numPr>
        <w:numId w:val="14"/>
      </w:numPr>
      <w:ind w:left="1701" w:hanging="567"/>
    </w:pPr>
  </w:style>
  <w:style w:type="paragraph" w:customStyle="1" w:styleId="List-Letter2">
    <w:name w:val="List - Letter 2"/>
    <w:basedOn w:val="List-Roman2"/>
    <w:qFormat/>
    <w:rsid w:val="004542AD"/>
    <w:pPr>
      <w:numPr>
        <w:numId w:val="9"/>
      </w:numPr>
      <w:ind w:left="1701" w:hanging="567"/>
    </w:pPr>
  </w:style>
  <w:style w:type="paragraph" w:customStyle="1" w:styleId="List-Numbered3">
    <w:name w:val="List - Numbered 3"/>
    <w:basedOn w:val="List-Numbered2"/>
    <w:qFormat/>
    <w:rsid w:val="004542AD"/>
    <w:pPr>
      <w:numPr>
        <w:ilvl w:val="2"/>
      </w:numPr>
      <w:ind w:left="2268"/>
    </w:pPr>
  </w:style>
  <w:style w:type="paragraph" w:customStyle="1" w:styleId="List-Roman3">
    <w:name w:val="List - Roman 3"/>
    <w:basedOn w:val="List-Numbered3"/>
    <w:qFormat/>
    <w:rsid w:val="004542AD"/>
    <w:pPr>
      <w:numPr>
        <w:numId w:val="14"/>
      </w:numPr>
      <w:ind w:left="2268"/>
    </w:pPr>
  </w:style>
  <w:style w:type="paragraph" w:customStyle="1" w:styleId="List-Letter3">
    <w:name w:val="List - Letter 3"/>
    <w:basedOn w:val="List-Roman3"/>
    <w:qFormat/>
    <w:rsid w:val="004542AD"/>
    <w:pPr>
      <w:numPr>
        <w:numId w:val="9"/>
      </w:numPr>
      <w:ind w:left="2268"/>
    </w:pPr>
  </w:style>
  <w:style w:type="paragraph" w:customStyle="1" w:styleId="List-Multi1">
    <w:name w:val="List - Multi 1"/>
    <w:basedOn w:val="List-Numbered1"/>
    <w:qFormat/>
    <w:rsid w:val="004542AD"/>
    <w:pPr>
      <w:numPr>
        <w:numId w:val="11"/>
      </w:numPr>
      <w:ind w:left="1134" w:hanging="567"/>
    </w:pPr>
  </w:style>
  <w:style w:type="paragraph" w:customStyle="1" w:styleId="List-Multi2">
    <w:name w:val="List - Multi 2"/>
    <w:basedOn w:val="List-Numbered2"/>
    <w:qFormat/>
    <w:rsid w:val="004542AD"/>
    <w:pPr>
      <w:numPr>
        <w:numId w:val="11"/>
      </w:numPr>
      <w:ind w:left="1701" w:hanging="567"/>
    </w:pPr>
  </w:style>
  <w:style w:type="paragraph" w:customStyle="1" w:styleId="List-Multi3">
    <w:name w:val="List - Multi 3"/>
    <w:basedOn w:val="List-Numbered3"/>
    <w:qFormat/>
    <w:rsid w:val="004542AD"/>
    <w:pPr>
      <w:numPr>
        <w:numId w:val="11"/>
      </w:numPr>
      <w:ind w:left="2268" w:hanging="567"/>
    </w:pPr>
  </w:style>
  <w:style w:type="numbering" w:customStyle="1" w:styleId="MultiStyleList">
    <w:name w:val="Multi Style List"/>
    <w:uiPriority w:val="99"/>
    <w:rsid w:val="00C97005"/>
    <w:pPr>
      <w:numPr>
        <w:numId w:val="10"/>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12"/>
      </w:numPr>
    </w:pPr>
  </w:style>
  <w:style w:type="character" w:styleId="PageNumber">
    <w:name w:val="page number"/>
    <w:basedOn w:val="DefaultParagraphFont"/>
    <w:uiPriority w:val="99"/>
    <w:unhideWhenUsed/>
    <w:rsid w:val="00C97005"/>
    <w:rPr>
      <w:b/>
      <w:color w:val="B5B7B7" w:themeColor="background2"/>
    </w:rPr>
  </w:style>
  <w:style w:type="table" w:styleId="PlainTable2">
    <w:name w:val="Plain Table 2"/>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13"/>
      </w:numPr>
    </w:pPr>
  </w:style>
  <w:style w:type="numbering" w:customStyle="1" w:styleId="RomanNumbers">
    <w:name w:val="Roman Numbers"/>
    <w:uiPriority w:val="99"/>
    <w:rsid w:val="00C97005"/>
    <w:pPr>
      <w:numPr>
        <w:numId w:val="14"/>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uiPriority w:val="59"/>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15"/>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9E2FC4"/>
    <w:pPr>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9E2FC4"/>
    <w:pPr>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9E2FC4"/>
    <w:pPr>
      <w:spacing w:before="0" w:after="100" w:line="259" w:lineRule="auto"/>
      <w:ind w:left="1320"/>
    </w:pPr>
    <w:rPr>
      <w:rFonts w:eastAsiaTheme="minorEastAsia"/>
      <w:lang w:eastAsia="en-AU"/>
    </w:rPr>
  </w:style>
  <w:style w:type="paragraph" w:styleId="TOC8">
    <w:name w:val="toc 8"/>
    <w:basedOn w:val="Normal"/>
    <w:next w:val="Normal"/>
    <w:autoRedefine/>
    <w:uiPriority w:val="39"/>
    <w:unhideWhenUsed/>
    <w:rsid w:val="009E2FC4"/>
    <w:pPr>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9E2FC4"/>
    <w:pPr>
      <w:spacing w:before="0" w:after="100" w:line="259" w:lineRule="auto"/>
      <w:ind w:left="1760"/>
    </w:pPr>
    <w:rPr>
      <w:rFonts w:eastAsiaTheme="minorEastAsia"/>
      <w:lang w:eastAsia="en-AU"/>
    </w:rPr>
  </w:style>
  <w:style w:type="paragraph" w:styleId="TOCHeading">
    <w:name w:val="TOC Heading"/>
    <w:basedOn w:val="Heading1"/>
    <w:next w:val="Normal"/>
    <w:uiPriority w:val="39"/>
    <w:unhideWhenUsed/>
    <w:qFormat/>
    <w:rsid w:val="009E2FC4"/>
    <w:pPr>
      <w:spacing w:before="0"/>
      <w:contextualSpacing w:val="0"/>
      <w:outlineLvl w:val="9"/>
    </w:pPr>
    <w:rPr>
      <w:bCs w:val="0"/>
      <w:szCs w:val="32"/>
      <w:lang w:val="en-US"/>
    </w:rPr>
  </w:style>
  <w:style w:type="paragraph" w:customStyle="1" w:styleId="Boxed1Bullet2">
    <w:name w:val="Boxed 1 Bullet 2"/>
    <w:basedOn w:val="Boxed1Bullet"/>
    <w:qFormat/>
    <w:rsid w:val="00C06A8C"/>
    <w:pPr>
      <w:numPr>
        <w:ilvl w:val="1"/>
      </w:numPr>
    </w:pPr>
  </w:style>
  <w:style w:type="paragraph" w:customStyle="1" w:styleId="Boxed2Bullet2">
    <w:name w:val="Boxed 2 Bullet 2"/>
    <w:basedOn w:val="Boxed2Bullet"/>
    <w:qFormat/>
    <w:rsid w:val="00C06A8C"/>
    <w:pPr>
      <w:numPr>
        <w:ilvl w:val="1"/>
      </w:numPr>
    </w:pPr>
  </w:style>
  <w:style w:type="paragraph" w:customStyle="1" w:styleId="RecommBoxText">
    <w:name w:val="Recomm Box Text"/>
    <w:basedOn w:val="Normal"/>
    <w:qFormat/>
    <w:rsid w:val="00254956"/>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suppressAutoHyphens/>
      <w:ind w:left="284" w:right="284"/>
    </w:pPr>
  </w:style>
  <w:style w:type="paragraph" w:customStyle="1" w:styleId="RecommBoxBullet1">
    <w:name w:val="Recomm Box Bullet 1"/>
    <w:basedOn w:val="RecommBoxText"/>
    <w:qFormat/>
    <w:rsid w:val="00C06A8C"/>
    <w:pPr>
      <w:numPr>
        <w:numId w:val="21"/>
      </w:numPr>
      <w:suppressAutoHyphens w:val="0"/>
    </w:pPr>
  </w:style>
  <w:style w:type="paragraph" w:customStyle="1" w:styleId="RecommBoxBullet2">
    <w:name w:val="Recomm Box Bullet 2"/>
    <w:basedOn w:val="RecommBoxBullet1"/>
    <w:qFormat/>
    <w:rsid w:val="00C06A8C"/>
    <w:pPr>
      <w:numPr>
        <w:ilvl w:val="1"/>
      </w:numPr>
    </w:pPr>
  </w:style>
  <w:style w:type="paragraph" w:customStyle="1" w:styleId="RecommBoxHeading">
    <w:name w:val="Recomm Box Heading"/>
    <w:basedOn w:val="RecommBoxText"/>
    <w:qFormat/>
    <w:rsid w:val="0044728A"/>
    <w:rPr>
      <w:b/>
      <w:sz w:val="22"/>
    </w:rPr>
  </w:style>
  <w:style w:type="paragraph" w:customStyle="1" w:styleId="RecommBoxNumberedList">
    <w:name w:val="Recomm Box Numbered List"/>
    <w:basedOn w:val="RecommBoxBullet1"/>
    <w:qFormat/>
    <w:rsid w:val="0043582B"/>
    <w:pPr>
      <w:numPr>
        <w:numId w:val="18"/>
      </w:numPr>
      <w:ind w:left="568" w:hanging="284"/>
    </w:pPr>
  </w:style>
  <w:style w:type="table" w:customStyle="1" w:styleId="UASimpleTable1">
    <w:name w:val="UA Simple Table 1"/>
    <w:basedOn w:val="TableNormal"/>
    <w:uiPriority w:val="99"/>
    <w:rsid w:val="00254956"/>
    <w:pPr>
      <w:spacing w:before="60" w:after="60"/>
    </w:pPr>
    <w:rPr>
      <w:color w:val="000000" w:themeColor="text1"/>
    </w:rPr>
    <w:tblPr>
      <w:tblStyleRowBandSize w:val="1"/>
      <w:tblStyleColBandSize w:val="1"/>
      <w:tblBorders>
        <w:bottom w:val="single" w:sz="4" w:space="0" w:color="A6A6A6" w:themeColor="background1" w:themeShade="A6"/>
        <w:insideH w:val="single" w:sz="4" w:space="0" w:color="A6A6A6" w:themeColor="background1" w:themeShade="A6"/>
      </w:tblBorders>
      <w:tblCellMar>
        <w:top w:w="57" w:type="dxa"/>
        <w:bottom w:w="57" w:type="dxa"/>
      </w:tblCellMar>
    </w:tblPr>
    <w:tblStylePr w:type="firstRow">
      <w:rPr>
        <w:b/>
        <w:color w:val="FFFFFF" w:themeColor="background1"/>
      </w:rPr>
      <w:tblPr/>
      <w:trPr>
        <w:tblHeader/>
      </w:trPr>
      <w:tcPr>
        <w:shd w:val="clear" w:color="auto" w:fill="001F47" w:themeFill="text2"/>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lastCol">
      <w:pPr>
        <w:jc w:val="right"/>
      </w:pPr>
      <w:rPr>
        <w:b w:val="0"/>
      </w:r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UASimpleTable2">
    <w:name w:val="UA Simple Table 2"/>
    <w:basedOn w:val="UASimpleTable1"/>
    <w:uiPriority w:val="99"/>
    <w:rsid w:val="00254956"/>
    <w:tblPr/>
    <w:tblStylePr w:type="firstRow">
      <w:rPr>
        <w:b/>
        <w:color w:val="FFFFFF" w:themeColor="background1"/>
      </w:rPr>
      <w:tblPr/>
      <w:trPr>
        <w:tblHeader/>
      </w:trPr>
      <w:tcPr>
        <w:shd w:val="clear" w:color="auto" w:fill="001F47" w:themeFill="text2"/>
      </w:tcPr>
    </w:tblStylePr>
    <w:tblStylePr w:type="lastRow">
      <w:rPr>
        <w:b/>
      </w:rPr>
      <w:tblPr/>
      <w:tcPr>
        <w:shd w:val="clear" w:color="auto" w:fill="90C0FF" w:themeFill="text2" w:themeFillTint="40"/>
      </w:tcPr>
    </w:tblStylePr>
    <w:tblStylePr w:type="firstCol">
      <w:rPr>
        <w:b/>
      </w:rPr>
      <w:tblPr/>
      <w:tcPr>
        <w:shd w:val="clear" w:color="auto" w:fill="90C0FF" w:themeFill="text2" w:themeFillTint="40"/>
      </w:tcPr>
    </w:tblStylePr>
    <w:tblStylePr w:type="lastCol">
      <w:pPr>
        <w:jc w:val="right"/>
      </w:pPr>
      <w:rPr>
        <w:b w:val="0"/>
      </w:rPr>
    </w:tblStylePr>
    <w:tblStylePr w:type="band1Vert">
      <w:tblPr/>
      <w:tcPr>
        <w:shd w:val="clear" w:color="auto" w:fill="D2E5FF" w:themeFill="text2" w:themeFillTint="1A"/>
      </w:tcPr>
    </w:tblStylePr>
    <w:tblStylePr w:type="band2Vert">
      <w:tblPr/>
      <w:tcPr>
        <w:shd w:val="clear" w:color="auto" w:fill="FFFFFF" w:themeFill="background1"/>
      </w:tcPr>
    </w:tblStylePr>
    <w:tblStylePr w:type="band1Horz">
      <w:tblPr/>
      <w:tcPr>
        <w:shd w:val="clear" w:color="auto" w:fill="D2E5FF" w:themeFill="text2" w:themeFillTint="1A"/>
      </w:tcPr>
    </w:tblStylePr>
    <w:tblStylePr w:type="band2Horz">
      <w:tblPr/>
      <w:tcPr>
        <w:shd w:val="clear" w:color="auto" w:fill="FFFFFF" w:themeFill="background1"/>
      </w:tcPr>
    </w:tblStylePr>
  </w:style>
  <w:style w:type="paragraph" w:customStyle="1" w:styleId="Boxed1Bullet3">
    <w:name w:val="Boxed 1 Bullet 3"/>
    <w:basedOn w:val="Boxed1Bullet2"/>
    <w:qFormat/>
    <w:rsid w:val="00C06A8C"/>
    <w:pPr>
      <w:numPr>
        <w:ilvl w:val="2"/>
      </w:numPr>
    </w:pPr>
  </w:style>
  <w:style w:type="paragraph" w:customStyle="1" w:styleId="Boxed2Bullet3">
    <w:name w:val="Boxed 2 Bullet 3"/>
    <w:basedOn w:val="Boxed2Bullet2"/>
    <w:qFormat/>
    <w:rsid w:val="00C06A8C"/>
    <w:pPr>
      <w:numPr>
        <w:ilvl w:val="2"/>
      </w:numPr>
    </w:pPr>
  </w:style>
  <w:style w:type="paragraph" w:customStyle="1" w:styleId="RecommBoxBullet3">
    <w:name w:val="Recomm Box Bullet 3"/>
    <w:basedOn w:val="RecommBoxBullet2"/>
    <w:qFormat/>
    <w:rsid w:val="00C06A8C"/>
    <w:pPr>
      <w:numPr>
        <w:ilvl w:val="2"/>
      </w:numPr>
    </w:pPr>
  </w:style>
  <w:style w:type="paragraph" w:styleId="IntenseQuote">
    <w:name w:val="Intense Quote"/>
    <w:basedOn w:val="Normal"/>
    <w:next w:val="Normal"/>
    <w:link w:val="IntenseQuoteChar"/>
    <w:uiPriority w:val="30"/>
    <w:qFormat/>
    <w:rsid w:val="005A7CC2"/>
    <w:pPr>
      <w:pBdr>
        <w:top w:val="single" w:sz="4" w:space="10" w:color="001F47" w:themeColor="accent1"/>
        <w:bottom w:val="single" w:sz="4" w:space="10" w:color="001F47" w:themeColor="accent1"/>
      </w:pBdr>
      <w:spacing w:before="120"/>
      <w:ind w:left="227" w:right="227"/>
    </w:pPr>
    <w:rPr>
      <w:b/>
      <w:iCs/>
      <w:color w:val="001F47" w:themeColor="accent1"/>
    </w:rPr>
  </w:style>
  <w:style w:type="character" w:customStyle="1" w:styleId="IntenseQuoteChar">
    <w:name w:val="Intense Quote Char"/>
    <w:basedOn w:val="DefaultParagraphFont"/>
    <w:link w:val="IntenseQuote"/>
    <w:uiPriority w:val="30"/>
    <w:rsid w:val="005A7CC2"/>
    <w:rPr>
      <w:b/>
      <w:iCs/>
      <w:color w:val="001F47" w:themeColor="accent1"/>
      <w:sz w:val="20"/>
    </w:rPr>
  </w:style>
  <w:style w:type="paragraph" w:styleId="ListParagraph">
    <w:name w:val="List Paragraph"/>
    <w:basedOn w:val="Normal"/>
    <w:uiPriority w:val="34"/>
    <w:qFormat/>
    <w:rsid w:val="00A01C21"/>
    <w:pPr>
      <w:ind w:left="720"/>
      <w:contextualSpacing/>
    </w:pPr>
  </w:style>
  <w:style w:type="paragraph" w:styleId="EndnoteText">
    <w:name w:val="endnote text"/>
    <w:basedOn w:val="Normal"/>
    <w:link w:val="EndnoteTextChar"/>
    <w:uiPriority w:val="99"/>
    <w:unhideWhenUsed/>
    <w:rsid w:val="00A01C21"/>
    <w:pPr>
      <w:spacing w:before="0" w:after="0" w:line="240" w:lineRule="auto"/>
    </w:pPr>
    <w:rPr>
      <w:color w:val="auto"/>
      <w:szCs w:val="20"/>
    </w:rPr>
  </w:style>
  <w:style w:type="character" w:customStyle="1" w:styleId="EndnoteTextChar">
    <w:name w:val="Endnote Text Char"/>
    <w:basedOn w:val="DefaultParagraphFont"/>
    <w:link w:val="EndnoteText"/>
    <w:uiPriority w:val="99"/>
    <w:rsid w:val="00A01C21"/>
    <w:rPr>
      <w:color w:val="auto"/>
      <w:sz w:val="20"/>
      <w:szCs w:val="20"/>
    </w:rPr>
  </w:style>
  <w:style w:type="character" w:styleId="EndnoteReference">
    <w:name w:val="endnote reference"/>
    <w:basedOn w:val="DefaultParagraphFont"/>
    <w:uiPriority w:val="99"/>
    <w:semiHidden/>
    <w:unhideWhenUsed/>
    <w:rsid w:val="00A01C21"/>
    <w:rPr>
      <w:vertAlign w:val="superscript"/>
    </w:rPr>
  </w:style>
  <w:style w:type="character" w:styleId="UnresolvedMention">
    <w:name w:val="Unresolved Mention"/>
    <w:basedOn w:val="DefaultParagraphFont"/>
    <w:uiPriority w:val="99"/>
    <w:semiHidden/>
    <w:unhideWhenUsed/>
    <w:rsid w:val="00D7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pc.gov.au/inquiries/completed/productivity-review/report/productivity-review.pdf" TargetMode="External"/><Relationship Id="rId2" Type="http://schemas.openxmlformats.org/officeDocument/2006/relationships/hyperlink" Target="https://bit.ly/2LiHKBR" TargetMode="External"/><Relationship Id="rId1" Type="http://schemas.openxmlformats.org/officeDocument/2006/relationships/hyperlink" Target="https://bit.ly/2Nx3mYk" TargetMode="External"/><Relationship Id="rId5" Type="http://schemas.openxmlformats.org/officeDocument/2006/relationships/hyperlink" Target="https://hee.nhs.uk/" TargetMode="External"/><Relationship Id="rId4" Type="http://schemas.openxmlformats.org/officeDocument/2006/relationships/hyperlink" Target="http://www.who.int/hrh/resources/transf_scaling_hpe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universitiesaustralia2.sharepoint.com/templates/Shared%20Documents/2018%20-%20Submission%20(Short).dotx" TargetMode="Externa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DA89203A2CE48A6F20B68C291A232" ma:contentTypeVersion="61" ma:contentTypeDescription="Create a new document." ma:contentTypeScope="" ma:versionID="139a5e1f67b060d7f5839a43c9412bfa">
  <xsd:schema xmlns:xsd="http://www.w3.org/2001/XMLSchema" xmlns:xs="http://www.w3.org/2001/XMLSchema" xmlns:p="http://schemas.microsoft.com/office/2006/metadata/properties" xmlns:ns2="7cc8b411-e712-41a5-bdcc-7bc9bdcf7115" xmlns:ns3="1e2b55d7-c8b8-41b6-a65e-39ab8cdb69ec" targetNamespace="http://schemas.microsoft.com/office/2006/metadata/properties" ma:root="true" ma:fieldsID="9247c1ed66d2d1f8a399f8d3b6a1a670" ns2:_="" ns3:_="">
    <xsd:import namespace="7cc8b411-e712-41a5-bdcc-7bc9bdcf7115"/>
    <xsd:import namespace="1e2b55d7-c8b8-41b6-a65e-39ab8cdb69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2b55d7-c8b8-41b6-a65e-39ab8cdb6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HubEmailToDisplay xmlns="3d2ca149-6300-466a-a47d-49720a311bba" xsi:nil="true"/>
    <jd1c641577414dfdab1686c9d5d0dbd0 xmlns="166541c0-0594-4e6a-9105-c24d4b6de6f7">
      <Terms xmlns="http://schemas.microsoft.com/office/infopath/2007/PartnerControls"/>
    </jd1c641577414dfdab1686c9d5d0dbd0>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From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DOC19-445018</ShareHubID>
    <TaxCatchAll xmlns="166541c0-0594-4e6a-9105-c24d4b6de6f7">
      <Value>29</Value>
      <Value>57</Value>
    </TaxCatchAll>
    <ShareHubEmailDate xmlns="166541c0-0594-4e6a-9105-c24d4b6de6f7" xsi:nil="true"/>
    <PMCNotes xmlns="166541c0-0594-4e6a-9105-c24d4b6de6f7" xsi:nil="true"/>
    <ShareHubEmailCc xmlns="166541c0-0594-4e6a-9105-c24d4b6de6f7" xsi:nil="true"/>
    <NonRecordJustification xmlns="685f9fda-bd71-4433-b331-92feb9553089">None</NonRecordJustification>
    <ShareHubEmailTo xmlns="334960d0-34b3-4a2f-99c1-c7c4188064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2716E8618D7CBC44B8D79E9961712F6D" ma:contentTypeVersion="4" ma:contentTypeDescription="ShareHub Email" ma:contentTypeScope="" ma:versionID="0cdbab77eed40f0cc8af9b194acc1f3e">
  <xsd:schema xmlns:xsd="http://www.w3.org/2001/XMLSchema" xmlns:xs="http://www.w3.org/2001/XMLSchema" xmlns:p="http://schemas.microsoft.com/office/2006/metadata/properties" xmlns:ns1="166541c0-0594-4e6a-9105-c24d4b6de6f7" xmlns:ns3="334960d0-34b3-4a2f-99c1-c7c418806403" xmlns:ns4="3d2ca149-6300-466a-a47d-49720a311bba" xmlns:ns5="685f9fda-bd71-4433-b331-92feb9553089" targetNamespace="http://schemas.microsoft.com/office/2006/metadata/properties" ma:root="true" ma:fieldsID="7aca39d44a32b0c2377b736769ed5361" ns1:_="" ns3:_="" ns4:_="" ns5:_="">
    <xsd:import namespace="166541c0-0594-4e6a-9105-c24d4b6de6f7"/>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xsd:element ref="ns1:PMCNotes" minOccurs="0"/>
                <xsd:element ref="ns1:jd1c641577414dfdab1686c9d5d0dbd0" minOccurs="0"/>
                <xsd:element ref="ns1:TaxCatchAllLabel" minOccurs="0"/>
                <xsd:element ref="ns1:mc5611b894cf49d8aeeb8ebf39dc09bc" minOccurs="0"/>
                <xsd:element ref="ns1:TaxCatchAll"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hc4a8f51d7584793bcee84017ea96cb3" ma:index="22"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5E31-BDB9-4B96-9871-B5E19E528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1e2b55d7-c8b8-41b6-a65e-39ab8cdb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7DD-BBF1-467C-ABB8-49338D136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77525-8A23-4BC2-A0D9-6438E8F38A03}"/>
</file>

<file path=customXml/itemProps4.xml><?xml version="1.0" encoding="utf-8"?>
<ds:datastoreItem xmlns:ds="http://schemas.openxmlformats.org/officeDocument/2006/customXml" ds:itemID="{FB2996B9-1B1D-4716-A73B-8362C02A0AD8}">
  <ds:schemaRefs>
    <ds:schemaRef ds:uri="http://schemas.microsoft.com/sharepoint/events"/>
  </ds:schemaRefs>
</ds:datastoreItem>
</file>

<file path=customXml/itemProps5.xml><?xml version="1.0" encoding="utf-8"?>
<ds:datastoreItem xmlns:ds="http://schemas.openxmlformats.org/officeDocument/2006/customXml" ds:itemID="{4B4FB45E-4CB0-4609-9D00-53A0C5C33079}">
  <ds:schemaRefs>
    <ds:schemaRef ds:uri="http://schemas.microsoft.com/sharepoint/v3/contenttype/forms"/>
  </ds:schemaRefs>
</ds:datastoreItem>
</file>

<file path=customXml/itemProps6.xml><?xml version="1.0" encoding="utf-8"?>
<ds:datastoreItem xmlns:ds="http://schemas.openxmlformats.org/officeDocument/2006/customXml" ds:itemID="{E1B96000-E662-4992-830F-1E30E5ED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2018%20-%20Submission%20(Short)</Template>
  <TotalTime>280</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Yates</dc:creator>
  <cp:keywords/>
  <dc:description/>
  <cp:lastModifiedBy>Rachel Yates</cp:lastModifiedBy>
  <cp:revision>128</cp:revision>
  <dcterms:created xsi:type="dcterms:W3CDTF">2018-07-23T05:45:00Z</dcterms:created>
  <dcterms:modified xsi:type="dcterms:W3CDTF">2018-07-31T05:28:00Z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0x010100C6FDFA855DF44DDFAFEDE39A05AE3EFB002716E8618D7CBC44B8D79E9961712F6D</vt:lpwstr>
  </property>
  <property fmtid="{D5CDD505-2E9C-101B-9397-08002B2CF9AE}" pid="3" name="ESearchTags">
    <vt:lpwstr>29;#Training|2f396fb6-baad-479d-8254-1550153bbe31</vt:lpwstr>
  </property>
  <property fmtid="{D5CDD505-2E9C-101B-9397-08002B2CF9AE}" pid="4" name="PMC.ESearch.TagGeneratedTime">
    <vt:lpwstr>2019-12-09T15:40:09</vt:lpwstr>
  </property>
  <property fmtid="{D5CDD505-2E9C-101B-9397-08002B2CF9AE}" pid="5" name="HPRMSecurityLevel">
    <vt:lpwstr>57;#OFFICIAL|11463c70-78df-4e3b-b0ff-f66cd3cb26ec</vt:lpwstr>
  </property>
  <property fmtid="{D5CDD505-2E9C-101B-9397-08002B2CF9AE}" pid="6" name="HPRMSecurityCaveat">
    <vt:lpwstr/>
  </property>
</Properties>
</file>