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E043" w14:textId="6C2106C3" w:rsidR="00EC43BB" w:rsidRPr="00EC43BB" w:rsidRDefault="00EC43BB" w:rsidP="00EC43BB">
      <w:pPr>
        <w:spacing w:after="360" w:line="240" w:lineRule="auto"/>
        <w:textAlignment w:val="baseline"/>
        <w:rPr>
          <w:rFonts w:ascii="inherit" w:eastAsia="Times New Roman" w:hAnsi="inherit" w:cs="Times New Roman"/>
          <w:color w:val="0A1633"/>
          <w:sz w:val="27"/>
          <w:szCs w:val="27"/>
          <w:lang w:eastAsia="en-AU"/>
        </w:rPr>
      </w:pPr>
    </w:p>
    <w:p w14:paraId="6593093B" w14:textId="77777777" w:rsidR="00981310" w:rsidRPr="00831A2C" w:rsidRDefault="002D0D4A" w:rsidP="00EC43BB">
      <w:pPr>
        <w:spacing w:after="360" w:line="240" w:lineRule="auto"/>
        <w:textAlignment w:val="baseline"/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</w:pPr>
      <w:r w:rsidRPr="00831A2C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>APS Review</w:t>
      </w:r>
      <w:r w:rsidR="00981310" w:rsidRPr="00831A2C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 xml:space="preserve"> – Primary Subjects &amp; Associated Comments</w:t>
      </w:r>
    </w:p>
    <w:p w14:paraId="03AA1DF0" w14:textId="7C8F640A" w:rsidR="003877A9" w:rsidRPr="00377157" w:rsidRDefault="00FF6F47" w:rsidP="0037715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</w:pPr>
      <w:r w:rsidRPr="00377157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>R</w:t>
      </w:r>
      <w:r w:rsidR="00EC43BB" w:rsidRPr="00377157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 xml:space="preserve">elations between </w:t>
      </w:r>
      <w:r w:rsidR="00CE1DA8" w:rsidRPr="00377157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>M</w:t>
      </w:r>
      <w:r w:rsidR="00EC43BB" w:rsidRPr="00377157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 xml:space="preserve">inisters and the </w:t>
      </w:r>
      <w:r w:rsidR="00CE1DA8" w:rsidRPr="00377157">
        <w:rPr>
          <w:rFonts w:asciiTheme="majorHAnsi" w:eastAsia="Times New Roman" w:hAnsiTheme="majorHAnsi" w:cstheme="majorHAnsi"/>
          <w:b/>
          <w:color w:val="0A1633"/>
          <w:sz w:val="24"/>
          <w:szCs w:val="24"/>
          <w:lang w:eastAsia="en-AU"/>
        </w:rPr>
        <w:t>APS</w:t>
      </w:r>
    </w:p>
    <w:p w14:paraId="06B3B85A" w14:textId="77777777" w:rsidR="005E67BE" w:rsidRPr="00831A2C" w:rsidRDefault="005E67BE" w:rsidP="005E67B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</w:p>
    <w:p w14:paraId="093C663F" w14:textId="534C5F10" w:rsidR="00EC43BB" w:rsidRPr="00831A2C" w:rsidRDefault="00CE1DA8" w:rsidP="005E67B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bandon fixed</w:t>
      </w: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term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appointments for </w:t>
      </w: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D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epartmental </w:t>
      </w: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S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ecretaries</w:t>
      </w: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.  A temporary Secretary is unlikely to provide frank and fearless advice in an apolitical APS.   </w:t>
      </w:r>
    </w:p>
    <w:p w14:paraId="48F57633" w14:textId="77777777" w:rsidR="005E67BE" w:rsidRPr="00831A2C" w:rsidRDefault="005E67BE" w:rsidP="005E67B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</w:p>
    <w:p w14:paraId="6D2B477E" w14:textId="37B3FE82" w:rsidR="00EC43BB" w:rsidRPr="00831A2C" w:rsidRDefault="00CE1DA8" w:rsidP="005E67B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Reduce Ministerial staff.  The majority have little knowledge of APS machinations, nor have an appreciation of the quality of APS advice.</w:t>
      </w:r>
    </w:p>
    <w:p w14:paraId="0F378258" w14:textId="77777777" w:rsidR="005E67BE" w:rsidRPr="00831A2C" w:rsidRDefault="005E67BE" w:rsidP="005E67B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</w:p>
    <w:p w14:paraId="3062955E" w14:textId="4F26505E" w:rsidR="00EC43BB" w:rsidRPr="00377157" w:rsidRDefault="00EC43BB" w:rsidP="00377157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  <w:r w:rsidRPr="00377157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>Central coordination</w:t>
      </w:r>
    </w:p>
    <w:p w14:paraId="5BDE80F4" w14:textId="77777777" w:rsidR="00831A2C" w:rsidRPr="00831A2C" w:rsidRDefault="00831A2C" w:rsidP="00EC43BB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</w:p>
    <w:p w14:paraId="7D2E1EA8" w14:textId="53F29A3C" w:rsidR="00EC43BB" w:rsidRPr="00831A2C" w:rsidRDefault="003877A9" w:rsidP="00EC43BB">
      <w:pPr>
        <w:spacing w:after="36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Ce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ntral coordination of the </w:t>
      </w:r>
      <w:r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APS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in the age of devolution </w:t>
      </w:r>
      <w:r w:rsidR="000B6367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is a contradiction.  The key players (PM&amp;C, Finance, APS Commissioner</w:t>
      </w:r>
      <w:r w:rsidR="003064D6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, </w:t>
      </w:r>
      <w:r w:rsidR="00AF4C10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Auditor-General</w:t>
      </w:r>
      <w:r w:rsidR="00AF4C1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, </w:t>
      </w:r>
      <w:r w:rsidR="003064D6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Fair Work Commis</w:t>
      </w:r>
      <w:r w:rsidR="003C070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s</w:t>
      </w:r>
      <w:r w:rsidR="003064D6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ioner</w:t>
      </w:r>
      <w:r w:rsidR="00D80BDE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)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</w:t>
      </w:r>
      <w:r w:rsidR="000B6367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should meet regularly 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to consider APS-wide issues</w:t>
      </w:r>
      <w:r w:rsidR="000B6367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.  Why </w:t>
      </w:r>
      <w:r w:rsidR="00831A2C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include </w:t>
      </w:r>
      <w:r w:rsidR="00AF4C1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the </w:t>
      </w:r>
      <w:r w:rsidR="000B6367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Auditor-General</w:t>
      </w:r>
      <w:r w:rsidR="003064D6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and Fair Work Commis</w:t>
      </w:r>
      <w:r w:rsidR="003C070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s</w:t>
      </w:r>
      <w:r w:rsidR="00D27395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i</w:t>
      </w:r>
      <w:r w:rsidR="003064D6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oner</w:t>
      </w:r>
      <w:r w:rsidR="000B6367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?  Someone needs to be there to remind all that they can’t simply make it up according to whim.</w:t>
      </w:r>
    </w:p>
    <w:p w14:paraId="79DF10F3" w14:textId="692BF74E" w:rsidR="003064D6" w:rsidRPr="00377157" w:rsidRDefault="003064D6" w:rsidP="00377157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  <w:r w:rsidRPr="00377157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 xml:space="preserve"> Leader</w:t>
      </w:r>
      <w:r w:rsidR="003C0700" w:rsidRPr="00377157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>s</w:t>
      </w:r>
      <w:r w:rsidRPr="00377157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>hip</w:t>
      </w:r>
    </w:p>
    <w:p w14:paraId="6B8B3DC9" w14:textId="77777777" w:rsidR="003C0700" w:rsidRPr="00831A2C" w:rsidRDefault="003C0700" w:rsidP="00EC43BB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</w:p>
    <w:p w14:paraId="16D48AB4" w14:textId="7F92A104" w:rsidR="003064D6" w:rsidRPr="00831A2C" w:rsidRDefault="003C0700" w:rsidP="00EC43BB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Cs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bCs/>
          <w:color w:val="0A1633"/>
          <w:sz w:val="24"/>
          <w:szCs w:val="24"/>
          <w:lang w:eastAsia="en-AU"/>
        </w:rPr>
        <w:t>Senior Executives need to be held</w:t>
      </w:r>
      <w:r w:rsidR="003064D6" w:rsidRPr="00831A2C">
        <w:rPr>
          <w:rFonts w:asciiTheme="majorHAnsi" w:eastAsia="Times New Roman" w:hAnsiTheme="majorHAnsi" w:cstheme="majorHAnsi"/>
          <w:bCs/>
          <w:color w:val="0A1633"/>
          <w:sz w:val="24"/>
          <w:szCs w:val="24"/>
          <w:lang w:eastAsia="en-AU"/>
        </w:rPr>
        <w:t xml:space="preserve"> responsible for ‘courageous’ decisions and personally appear before the Fair Work Commission, et al, rather than sending groups of functionaries to explain what considerations another person took.  Personal appearance</w:t>
      </w:r>
      <w:r>
        <w:rPr>
          <w:rFonts w:asciiTheme="majorHAnsi" w:eastAsia="Times New Roman" w:hAnsiTheme="majorHAnsi" w:cstheme="majorHAnsi"/>
          <w:bCs/>
          <w:color w:val="0A1633"/>
          <w:sz w:val="24"/>
          <w:szCs w:val="24"/>
          <w:lang w:eastAsia="en-AU"/>
        </w:rPr>
        <w:t>s by Senior Executives</w:t>
      </w:r>
      <w:r w:rsidR="003064D6" w:rsidRPr="00831A2C">
        <w:rPr>
          <w:rFonts w:asciiTheme="majorHAnsi" w:eastAsia="Times New Roman" w:hAnsiTheme="majorHAnsi" w:cstheme="majorHAnsi"/>
          <w:bCs/>
          <w:color w:val="0A1633"/>
          <w:sz w:val="24"/>
          <w:szCs w:val="24"/>
          <w:lang w:eastAsia="en-AU"/>
        </w:rPr>
        <w:t xml:space="preserve"> will ensure future careful thinking.</w:t>
      </w:r>
    </w:p>
    <w:p w14:paraId="0C83737B" w14:textId="77777777" w:rsidR="003064D6" w:rsidRPr="00831A2C" w:rsidRDefault="003064D6" w:rsidP="00EC43BB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Cs/>
          <w:color w:val="0A1633"/>
          <w:sz w:val="24"/>
          <w:szCs w:val="24"/>
          <w:lang w:eastAsia="en-AU"/>
        </w:rPr>
      </w:pPr>
    </w:p>
    <w:p w14:paraId="578DF2AE" w14:textId="09E8F3AF" w:rsidR="00EC43BB" w:rsidRPr="00377157" w:rsidRDefault="00377157" w:rsidP="00377157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  <w:r w:rsidRPr="00377157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 xml:space="preserve"> </w:t>
      </w:r>
      <w:r w:rsidR="00AB58C7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>Recruitment &amp; Staffing</w:t>
      </w:r>
    </w:p>
    <w:p w14:paraId="066042A9" w14:textId="77777777" w:rsidR="007068FA" w:rsidRPr="00831A2C" w:rsidRDefault="007068FA" w:rsidP="00EC43BB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</w:p>
    <w:p w14:paraId="71FB6DB7" w14:textId="61A8213D" w:rsidR="00377157" w:rsidRDefault="00AB58C7" w:rsidP="003771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Recruitment is a specialist HR field.  People who are not HR specialists need to take a subordinate role in recruitment and staffing.  Everyone thinks they are good </w:t>
      </w:r>
      <w:r w:rsidR="00471F1B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at s</w:t>
      </w:r>
      <w:r w:rsidR="00830107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e</w:t>
      </w:r>
      <w:r w:rsidR="00471F1B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lectin</w:t>
      </w:r>
      <w:r w:rsidR="00830107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g</w:t>
      </w: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people but the majority are not.  In an extreme case, I observed an applicant, when applying for a job in a workplace relations Agency, attach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a picture of his two dogs to his job application.  Inexplicably, he was hired.  </w:t>
      </w:r>
    </w:p>
    <w:p w14:paraId="4107ACC3" w14:textId="77777777" w:rsidR="00830107" w:rsidRPr="00831A2C" w:rsidRDefault="00830107" w:rsidP="003771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</w:p>
    <w:p w14:paraId="6645DA19" w14:textId="6DFE3905" w:rsidR="006A65F5" w:rsidRDefault="00F8768F" w:rsidP="003771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T</w:t>
      </w:r>
      <w:r w:rsidR="006A65F5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he myriad ways that a motivated APS employee can use to deflect attention from their often ‘symbolic’ work performance has driven Departments to adopt staffing methods of less resistance. As such, </w:t>
      </w:r>
      <w:r w:rsidR="007068FA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the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increased use of consultants, contractors and labour-hire staff</w:t>
      </w:r>
      <w:r w:rsidR="007068FA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is </w:t>
      </w:r>
      <w:r w:rsidR="00FA43F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partly </w:t>
      </w:r>
      <w:r w:rsidR="007068FA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understandable as these forms of labour don’t have excessive absenteeism or lodge compensation claims in an extremely generous compensation environment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. </w:t>
      </w:r>
      <w:r w:rsidR="007068FA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Also, </w:t>
      </w:r>
      <w:r w:rsidR="00377157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there is </w:t>
      </w:r>
      <w:r w:rsidR="007068FA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no need to engage in laborious and confronting performance management processes </w:t>
      </w:r>
      <w:r w:rsidR="00377157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for </w:t>
      </w:r>
      <w:r w:rsidR="00377157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consultants, contractors and labour-hire staff</w:t>
      </w:r>
      <w:r w:rsidR="00377157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.  If the labour contract is tightly worded, you simply cancel their services.</w:t>
      </w:r>
      <w:r w:rsidR="00FA43F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</w:t>
      </w:r>
    </w:p>
    <w:p w14:paraId="70825880" w14:textId="77777777" w:rsidR="006A65F5" w:rsidRDefault="006A65F5" w:rsidP="003771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</w:p>
    <w:p w14:paraId="35487D59" w14:textId="7B0CB62C" w:rsidR="00FA43F0" w:rsidRDefault="00377157" w:rsidP="003771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lastRenderedPageBreak/>
        <w:t>In any case it is extremely rare to see an</w:t>
      </w:r>
      <w:r w:rsidR="007068FA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APS manager </w:t>
      </w: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engage in performance management procedures. When in doubt, </w:t>
      </w:r>
      <w:r w:rsidR="00FA43F0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they </w:t>
      </w: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simply restructure. </w:t>
      </w:r>
      <w:r w:rsidR="0043086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Again, partly understandable</w:t>
      </w:r>
      <w:r w:rsidR="004408ED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as the performance management systems require backbone, which is generally lacking.</w:t>
      </w:r>
    </w:p>
    <w:p w14:paraId="7D79DB88" w14:textId="0A713D47" w:rsidR="00EC43BB" w:rsidRPr="00831A2C" w:rsidRDefault="00377157" w:rsidP="003771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</w:t>
      </w:r>
    </w:p>
    <w:p w14:paraId="4C3714B6" w14:textId="41BEDEF0" w:rsidR="00EC43BB" w:rsidRDefault="00EC43BB" w:rsidP="00246873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  <w:r w:rsidRPr="00246873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 xml:space="preserve">Remuneration </w:t>
      </w:r>
      <w:r w:rsidR="00246873" w:rsidRPr="00246873"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  <w:t>and employment conditions</w:t>
      </w:r>
    </w:p>
    <w:p w14:paraId="527B7647" w14:textId="77777777" w:rsidR="006A65F5" w:rsidRPr="00246873" w:rsidRDefault="006A65F5" w:rsidP="006A65F5">
      <w:pPr>
        <w:pStyle w:val="ListParagraph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A1633"/>
          <w:sz w:val="24"/>
          <w:szCs w:val="24"/>
          <w:lang w:eastAsia="en-AU"/>
        </w:rPr>
      </w:pPr>
    </w:p>
    <w:p w14:paraId="78225BA3" w14:textId="75789876" w:rsidR="00EC43BB" w:rsidRPr="00831A2C" w:rsidRDefault="006A65F5" w:rsidP="00EC43BB">
      <w:pPr>
        <w:spacing w:after="36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Individual Department Workplace Agreements have been an abject failure.  The overhead cost of negotiating individual Agreements is a total waste of </w:t>
      </w:r>
      <w:r w:rsidR="00E24C83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taxpayer money.</w:t>
      </w:r>
      <w:r w:rsidR="005E62E1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Union resources are also stretched by this. The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economic lunacy that improvements in remuneration should be directly linked to increases in productivity at </w:t>
      </w:r>
      <w:r w:rsidR="005E62E1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Agency level has resulted in some ripping yarns regarding productivity offsets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.</w:t>
      </w:r>
    </w:p>
    <w:p w14:paraId="18E3FF73" w14:textId="3BE5A74F" w:rsidR="00EC43BB" w:rsidRPr="00831A2C" w:rsidRDefault="005E62E1" w:rsidP="00EC43BB">
      <w:pPr>
        <w:spacing w:after="360"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>Go back to</w:t>
      </w:r>
      <w:r w:rsidR="00EC43BB" w:rsidRPr="00831A2C"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  <w:t xml:space="preserve"> centralised negotiations covering the public service as a whole. </w:t>
      </w:r>
    </w:p>
    <w:p w14:paraId="7DCBB0BF" w14:textId="77777777" w:rsidR="00EC43BB" w:rsidRPr="00831A2C" w:rsidRDefault="00EC43BB" w:rsidP="00EC43BB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A1633"/>
          <w:sz w:val="24"/>
          <w:szCs w:val="24"/>
          <w:lang w:eastAsia="en-AU"/>
        </w:rPr>
      </w:pPr>
    </w:p>
    <w:sectPr w:rsidR="00EC43BB" w:rsidRPr="0083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BC7"/>
    <w:multiLevelType w:val="hybridMultilevel"/>
    <w:tmpl w:val="9B0EE0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5278"/>
    <w:multiLevelType w:val="multilevel"/>
    <w:tmpl w:val="058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53474"/>
    <w:multiLevelType w:val="hybridMultilevel"/>
    <w:tmpl w:val="E4949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6C9F"/>
    <w:multiLevelType w:val="hybridMultilevel"/>
    <w:tmpl w:val="E1AAE2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B"/>
    <w:rsid w:val="000671C8"/>
    <w:rsid w:val="000B6367"/>
    <w:rsid w:val="00246873"/>
    <w:rsid w:val="002D0D4A"/>
    <w:rsid w:val="003064D6"/>
    <w:rsid w:val="00377157"/>
    <w:rsid w:val="003877A9"/>
    <w:rsid w:val="003C0700"/>
    <w:rsid w:val="0043086C"/>
    <w:rsid w:val="004408ED"/>
    <w:rsid w:val="00471F1B"/>
    <w:rsid w:val="005E62E1"/>
    <w:rsid w:val="005E67BE"/>
    <w:rsid w:val="006A65F5"/>
    <w:rsid w:val="006E7475"/>
    <w:rsid w:val="007068FA"/>
    <w:rsid w:val="00723F43"/>
    <w:rsid w:val="00776060"/>
    <w:rsid w:val="00830107"/>
    <w:rsid w:val="00831A2C"/>
    <w:rsid w:val="00981310"/>
    <w:rsid w:val="00AB58C7"/>
    <w:rsid w:val="00AF4C10"/>
    <w:rsid w:val="00CE1DA8"/>
    <w:rsid w:val="00D27395"/>
    <w:rsid w:val="00D80BDE"/>
    <w:rsid w:val="00E24C83"/>
    <w:rsid w:val="00EC43BB"/>
    <w:rsid w:val="00F8768F"/>
    <w:rsid w:val="00FA43F0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64A8"/>
  <w15:chartTrackingRefBased/>
  <w15:docId w15:val="{4E54CA15-DDB6-456D-98EF-AA98D095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10">
          <w:marLeft w:val="0"/>
          <w:marRight w:val="0"/>
          <w:marTop w:val="120"/>
          <w:marBottom w:val="0"/>
          <w:divBdr>
            <w:top w:val="single" w:sz="6" w:space="12" w:color="D7DBE3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1279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D7DBE3"/>
                <w:bottom w:val="none" w:sz="0" w:space="0" w:color="auto"/>
                <w:right w:val="none" w:sz="0" w:space="0" w:color="auto"/>
              </w:divBdr>
              <w:divsChild>
                <w:div w:id="1085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6619">
          <w:marLeft w:val="0"/>
          <w:marRight w:val="0"/>
          <w:marTop w:val="0"/>
          <w:marBottom w:val="60"/>
          <w:divBdr>
            <w:top w:val="single" w:sz="6" w:space="12" w:color="D7DBE3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1692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758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304">
              <w:marLeft w:val="0"/>
              <w:marRight w:val="0"/>
              <w:marTop w:val="0"/>
              <w:marBottom w:val="600"/>
              <w:divBdr>
                <w:top w:val="single" w:sz="6" w:space="18" w:color="D7DBE3"/>
                <w:left w:val="single" w:sz="2" w:space="0" w:color="D7DBE3"/>
                <w:bottom w:val="single" w:sz="6" w:space="18" w:color="D7DBE3"/>
                <w:right w:val="single" w:sz="2" w:space="0" w:color="D7DBE3"/>
              </w:divBdr>
            </w:div>
          </w:divsChild>
        </w:div>
        <w:div w:id="32658782">
          <w:marLeft w:val="37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070">
                  <w:marLeft w:val="401"/>
                  <w:marRight w:val="0"/>
                  <w:marTop w:val="0"/>
                  <w:marBottom w:val="480"/>
                  <w:divBdr>
                    <w:top w:val="single" w:sz="18" w:space="0" w:color="0A1633"/>
                    <w:left w:val="none" w:sz="0" w:space="0" w:color="auto"/>
                    <w:bottom w:val="single" w:sz="6" w:space="0" w:color="D7DBE3"/>
                    <w:right w:val="none" w:sz="0" w:space="0" w:color="auto"/>
                  </w:divBdr>
                  <w:divsChild>
                    <w:div w:id="610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04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487">
                  <w:blockQuote w:val="1"/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654">
                  <w:marLeft w:val="401"/>
                  <w:marRight w:val="0"/>
                  <w:marTop w:val="0"/>
                  <w:marBottom w:val="480"/>
                  <w:divBdr>
                    <w:top w:val="single" w:sz="18" w:space="0" w:color="0A1633"/>
                    <w:left w:val="none" w:sz="0" w:space="0" w:color="auto"/>
                    <w:bottom w:val="single" w:sz="6" w:space="0" w:color="D7DBE3"/>
                    <w:right w:val="none" w:sz="0" w:space="0" w:color="auto"/>
                  </w:divBdr>
                  <w:divsChild>
                    <w:div w:id="16982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88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DOC19-445151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F3037C11-9413-49ED-9906-502F7F291D8B}"/>
</file>

<file path=customXml/itemProps2.xml><?xml version="1.0" encoding="utf-8"?>
<ds:datastoreItem xmlns:ds="http://schemas.openxmlformats.org/officeDocument/2006/customXml" ds:itemID="{FC097369-6FE7-439B-ACCD-275E8CB553FC}"/>
</file>

<file path=customXml/itemProps3.xml><?xml version="1.0" encoding="utf-8"?>
<ds:datastoreItem xmlns:ds="http://schemas.openxmlformats.org/officeDocument/2006/customXml" ds:itemID="{A8EAD903-0647-492C-9C8A-F90A9CDDB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rainbird</dc:creator>
  <cp:keywords/>
  <dc:description/>
  <cp:lastModifiedBy>peter rainbird</cp:lastModifiedBy>
  <cp:revision>23</cp:revision>
  <dcterms:created xsi:type="dcterms:W3CDTF">2018-07-03T05:05:00Z</dcterms:created>
  <dcterms:modified xsi:type="dcterms:W3CDTF">2018-07-28T00:34:00Z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2019-12-09T15:43:02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